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3988" w14:textId="000AA442" w:rsidR="00B10638" w:rsidRPr="00493C10" w:rsidRDefault="009C4C9E" w:rsidP="00B10638">
      <w:pPr>
        <w:jc w:val="center"/>
        <w:rPr>
          <w:rFonts w:ascii="Times" w:hAnsi="Times"/>
          <w:b/>
          <w:bCs/>
          <w:sz w:val="36"/>
          <w:szCs w:val="36"/>
        </w:rPr>
      </w:pPr>
      <w:r w:rsidRPr="00493C10">
        <w:rPr>
          <w:rFonts w:ascii="Times" w:hAnsi="Times"/>
          <w:b/>
          <w:bCs/>
          <w:sz w:val="36"/>
          <w:szCs w:val="36"/>
        </w:rPr>
        <w:t>Christopher Brett</w:t>
      </w:r>
      <w:r w:rsidR="00B10638" w:rsidRPr="00493C10">
        <w:rPr>
          <w:rFonts w:ascii="Times" w:hAnsi="Times"/>
          <w:b/>
          <w:bCs/>
          <w:sz w:val="36"/>
          <w:szCs w:val="36"/>
        </w:rPr>
        <w:t xml:space="preserve"> Jaeger</w:t>
      </w:r>
      <w:r w:rsidR="00BA1316">
        <w:rPr>
          <w:rFonts w:ascii="Times" w:hAnsi="Times"/>
          <w:b/>
          <w:bCs/>
          <w:sz w:val="36"/>
          <w:szCs w:val="36"/>
        </w:rPr>
        <w:t>, JD, PhD</w:t>
      </w:r>
    </w:p>
    <w:p w14:paraId="0076DE99" w14:textId="75654ECF" w:rsidR="00493C10" w:rsidRDefault="007A21D3" w:rsidP="0076692A">
      <w:pPr>
        <w:tabs>
          <w:tab w:val="right" w:pos="9360"/>
        </w:tabs>
        <w:jc w:val="center"/>
        <w:rPr>
          <w:rFonts w:ascii="Times" w:hAnsi="Times"/>
          <w:bCs/>
        </w:rPr>
      </w:pPr>
      <w:r>
        <w:rPr>
          <w:rFonts w:ascii="Times" w:hAnsi="Times"/>
          <w:bCs/>
        </w:rPr>
        <w:t>Ass</w:t>
      </w:r>
      <w:r w:rsidR="004B08E3">
        <w:rPr>
          <w:rFonts w:ascii="Times" w:hAnsi="Times"/>
          <w:bCs/>
        </w:rPr>
        <w:t>ociate</w:t>
      </w:r>
      <w:r>
        <w:rPr>
          <w:rFonts w:ascii="Times" w:hAnsi="Times"/>
          <w:bCs/>
        </w:rPr>
        <w:t xml:space="preserve"> Professor of Law</w:t>
      </w:r>
      <w:r w:rsidR="0076692A">
        <w:rPr>
          <w:rFonts w:ascii="Times" w:hAnsi="Times"/>
          <w:bCs/>
        </w:rPr>
        <w:t xml:space="preserve">, </w:t>
      </w:r>
      <w:r>
        <w:rPr>
          <w:rFonts w:ascii="Times" w:hAnsi="Times"/>
          <w:bCs/>
        </w:rPr>
        <w:t>Baylor Law School</w:t>
      </w:r>
    </w:p>
    <w:p w14:paraId="7E6580D0" w14:textId="6C3E1E1C" w:rsidR="00562647" w:rsidRDefault="00562647" w:rsidP="0076692A">
      <w:pPr>
        <w:tabs>
          <w:tab w:val="right" w:pos="9360"/>
        </w:tabs>
        <w:jc w:val="center"/>
        <w:rPr>
          <w:rFonts w:ascii="Times" w:hAnsi="Times"/>
          <w:bCs/>
        </w:rPr>
      </w:pPr>
      <w:r>
        <w:rPr>
          <w:rFonts w:ascii="Times" w:hAnsi="Times"/>
          <w:bCs/>
        </w:rPr>
        <w:t>Secondary Appointment in Department of Psychology and Neuroscience, Baylor University</w:t>
      </w:r>
    </w:p>
    <w:p w14:paraId="343AEFB2" w14:textId="0BD2549B" w:rsidR="007A21D3" w:rsidRDefault="007A21D3" w:rsidP="00C17A88">
      <w:pPr>
        <w:tabs>
          <w:tab w:val="right" w:pos="9360"/>
        </w:tabs>
        <w:jc w:val="center"/>
        <w:rPr>
          <w:rFonts w:ascii="Times" w:hAnsi="Times"/>
          <w:bCs/>
        </w:rPr>
      </w:pPr>
      <w:r>
        <w:rPr>
          <w:rFonts w:ascii="Times" w:hAnsi="Times"/>
          <w:bCs/>
        </w:rPr>
        <w:t>1114 S. University Parks Dr., Waco, TX 76706</w:t>
      </w:r>
    </w:p>
    <w:p w14:paraId="70D834EF" w14:textId="50962FDB" w:rsidR="00493C10" w:rsidRPr="00493C10" w:rsidRDefault="007A21D3" w:rsidP="00493C10">
      <w:pPr>
        <w:jc w:val="center"/>
      </w:pPr>
      <w:r>
        <w:t xml:space="preserve"> </w:t>
      </w:r>
      <w:r w:rsidR="00493C10">
        <w:t>(</w:t>
      </w:r>
      <w:r>
        <w:t>254</w:t>
      </w:r>
      <w:r w:rsidR="00493C10">
        <w:t xml:space="preserve">) </w:t>
      </w:r>
      <w:r>
        <w:t>710</w:t>
      </w:r>
      <w:r w:rsidR="00493C10">
        <w:t>-</w:t>
      </w:r>
      <w:r>
        <w:t>6590</w:t>
      </w:r>
      <w:r w:rsidR="00493C10">
        <w:t xml:space="preserve"> • </w:t>
      </w:r>
      <w:r>
        <w:t>chris_jaeger</w:t>
      </w:r>
      <w:r w:rsidR="00493C10">
        <w:t>@</w:t>
      </w:r>
      <w:r>
        <w:t>baylor</w:t>
      </w:r>
      <w:r w:rsidR="00493C10">
        <w:t>.edu</w:t>
      </w:r>
    </w:p>
    <w:p w14:paraId="3E92E3B0" w14:textId="77777777" w:rsidR="00493C10" w:rsidRDefault="00493C10" w:rsidP="00085108">
      <w:pPr>
        <w:rPr>
          <w:b/>
          <w:u w:val="single"/>
        </w:rPr>
      </w:pPr>
    </w:p>
    <w:p w14:paraId="608269C7" w14:textId="77777777" w:rsidR="00D3705B" w:rsidRDefault="00D3705B" w:rsidP="00085108">
      <w:pPr>
        <w:rPr>
          <w:b/>
          <w:u w:val="single"/>
        </w:rPr>
      </w:pPr>
    </w:p>
    <w:p w14:paraId="569A76DF" w14:textId="3DE518C4" w:rsidR="007A21D3" w:rsidRDefault="007A21D3" w:rsidP="00FE0063">
      <w:pPr>
        <w:jc w:val="center"/>
        <w:rPr>
          <w:b/>
          <w:sz w:val="28"/>
          <w:szCs w:val="28"/>
          <w:u w:val="single"/>
        </w:rPr>
      </w:pPr>
      <w:r>
        <w:rPr>
          <w:b/>
          <w:sz w:val="28"/>
          <w:szCs w:val="28"/>
          <w:u w:val="single"/>
        </w:rPr>
        <w:t>ACADEMIC APPOINTMENTS</w:t>
      </w:r>
    </w:p>
    <w:p w14:paraId="18F3E655" w14:textId="5FD802A0" w:rsidR="007A21D3" w:rsidRDefault="007A21D3" w:rsidP="007A21D3">
      <w:pPr>
        <w:rPr>
          <w:b/>
          <w:sz w:val="28"/>
          <w:szCs w:val="28"/>
          <w:u w:val="single"/>
        </w:rPr>
      </w:pPr>
    </w:p>
    <w:p w14:paraId="2C747183" w14:textId="745E4677" w:rsidR="007A21D3" w:rsidRDefault="007A21D3" w:rsidP="007A21D3">
      <w:pPr>
        <w:rPr>
          <w:bCs/>
        </w:rPr>
      </w:pPr>
      <w:r>
        <w:rPr>
          <w:b/>
        </w:rPr>
        <w:t>Baylor Law School</w:t>
      </w:r>
      <w:r>
        <w:rPr>
          <w:bCs/>
        </w:rPr>
        <w:t>, Waco, T</w:t>
      </w:r>
      <w:r w:rsidR="00AC6460">
        <w:rPr>
          <w:bCs/>
        </w:rPr>
        <w:t>exas</w:t>
      </w:r>
    </w:p>
    <w:p w14:paraId="2A4E0571" w14:textId="7411BF8E" w:rsidR="00562647" w:rsidRDefault="004F02EA" w:rsidP="00562647">
      <w:pPr>
        <w:ind w:firstLine="720"/>
        <w:rPr>
          <w:bCs/>
          <w:color w:val="000000" w:themeColor="text1"/>
          <w:shd w:val="clear" w:color="auto" w:fill="FFFFFF"/>
        </w:rPr>
      </w:pPr>
      <w:r>
        <w:rPr>
          <w:bCs/>
          <w:i/>
          <w:iCs/>
        </w:rPr>
        <w:t>Associate Professor of Law</w:t>
      </w:r>
      <w:r w:rsidR="0029296C">
        <w:rPr>
          <w:bCs/>
          <w:i/>
          <w:iCs/>
        </w:rPr>
        <w:t xml:space="preserve"> </w:t>
      </w:r>
      <w:r w:rsidR="0029296C">
        <w:rPr>
          <w:bCs/>
        </w:rPr>
        <w:t>(pre-tenure)</w:t>
      </w:r>
      <w:r>
        <w:rPr>
          <w:bCs/>
        </w:rPr>
        <w:t>, August 2024</w:t>
      </w:r>
      <w:r w:rsidRPr="00FA3FBB">
        <w:rPr>
          <w:bCs/>
          <w:color w:val="000000" w:themeColor="text1"/>
          <w:shd w:val="clear" w:color="auto" w:fill="FFFFFF"/>
        </w:rPr>
        <w:t>–</w:t>
      </w:r>
      <w:r>
        <w:rPr>
          <w:bCs/>
          <w:color w:val="000000" w:themeColor="text1"/>
          <w:shd w:val="clear" w:color="auto" w:fill="FFFFFF"/>
        </w:rPr>
        <w:t>present</w:t>
      </w:r>
    </w:p>
    <w:p w14:paraId="107AA66A" w14:textId="5E46489C" w:rsidR="00CA055E" w:rsidRPr="00CA055E" w:rsidRDefault="00CA055E" w:rsidP="00CA055E">
      <w:pPr>
        <w:ind w:left="1440"/>
        <w:rPr>
          <w:bCs/>
        </w:rPr>
      </w:pPr>
      <w:r>
        <w:rPr>
          <w:bCs/>
          <w:i/>
          <w:iCs/>
        </w:rPr>
        <w:t>Secondary Appointment, Dept. of Psychology &amp; Neuroscience</w:t>
      </w:r>
      <w:r>
        <w:rPr>
          <w:bCs/>
        </w:rPr>
        <w:t>, November 2025-present</w:t>
      </w:r>
    </w:p>
    <w:p w14:paraId="16412A5C" w14:textId="486EEF71" w:rsidR="007A21D3" w:rsidRDefault="007A21D3" w:rsidP="007A21D3">
      <w:pPr>
        <w:ind w:firstLine="720"/>
        <w:rPr>
          <w:bCs/>
        </w:rPr>
      </w:pPr>
      <w:r>
        <w:rPr>
          <w:bCs/>
          <w:i/>
          <w:iCs/>
        </w:rPr>
        <w:t>Assistant Professor of Law</w:t>
      </w:r>
      <w:r>
        <w:rPr>
          <w:bCs/>
        </w:rPr>
        <w:t>,</w:t>
      </w:r>
      <w:r>
        <w:rPr>
          <w:bCs/>
          <w:i/>
          <w:iCs/>
        </w:rPr>
        <w:t xml:space="preserve"> </w:t>
      </w:r>
      <w:r>
        <w:rPr>
          <w:bCs/>
        </w:rPr>
        <w:t xml:space="preserve">May </w:t>
      </w:r>
      <w:r w:rsidR="00AC6460">
        <w:rPr>
          <w:bCs/>
        </w:rPr>
        <w:t>2021</w:t>
      </w:r>
      <w:r w:rsidR="00AC6460" w:rsidRPr="00FA3FBB">
        <w:rPr>
          <w:bCs/>
          <w:color w:val="000000" w:themeColor="text1"/>
          <w:shd w:val="clear" w:color="auto" w:fill="FFFFFF"/>
        </w:rPr>
        <w:t>–</w:t>
      </w:r>
      <w:r w:rsidR="004F02EA">
        <w:rPr>
          <w:bCs/>
        </w:rPr>
        <w:t>July 2024</w:t>
      </w:r>
    </w:p>
    <w:p w14:paraId="4A649716" w14:textId="77777777" w:rsidR="00F33C84" w:rsidRDefault="00F33C84" w:rsidP="00F33C84">
      <w:pPr>
        <w:ind w:left="720"/>
        <w:rPr>
          <w:bCs/>
        </w:rPr>
      </w:pPr>
      <w:r>
        <w:rPr>
          <w:bCs/>
          <w:i/>
          <w:iCs/>
        </w:rPr>
        <w:t>Teaching</w:t>
      </w:r>
      <w:r>
        <w:rPr>
          <w:bCs/>
        </w:rPr>
        <w:t>: Contracts I, Contracts II, Alternative Dispute Resolution, LARC 3: Persuasive Communication</w:t>
      </w:r>
    </w:p>
    <w:p w14:paraId="7FBC4C23" w14:textId="521DEF7F" w:rsidR="005917B6" w:rsidRDefault="00372D40" w:rsidP="00E76360">
      <w:pPr>
        <w:tabs>
          <w:tab w:val="left" w:pos="720"/>
        </w:tabs>
        <w:ind w:left="720"/>
      </w:pPr>
      <w:r>
        <w:rPr>
          <w:i/>
        </w:rPr>
        <w:t>Service</w:t>
      </w:r>
      <w:r>
        <w:t>:</w:t>
      </w:r>
      <w:r w:rsidR="00E76360">
        <w:t xml:space="preserve"> </w:t>
      </w:r>
      <w:r w:rsidR="005917B6">
        <w:t>Faculty Scholarship and Collaboration Committee (2022-)</w:t>
      </w:r>
      <w:r w:rsidR="00E76360">
        <w:t>; Admissions and Recruitment Committee (2023-</w:t>
      </w:r>
      <w:r w:rsidR="00A52779">
        <w:t>), Vice Chair (2025-)</w:t>
      </w:r>
      <w:r w:rsidR="00E76360">
        <w:t>; Student Health and Wellness Committee (2024-); Career Development Office Committee (2024-); GPA Working Group (2024-</w:t>
      </w:r>
      <w:r w:rsidR="00753CF2">
        <w:t>25</w:t>
      </w:r>
      <w:r w:rsidR="00E76360">
        <w:t xml:space="preserve">); Strategic Planning Committee (2024), </w:t>
      </w:r>
      <w:r w:rsidR="005917B6">
        <w:t>Law Review Advisory Committee (2022-</w:t>
      </w:r>
      <w:r w:rsidR="00E76360">
        <w:t>24</w:t>
      </w:r>
      <w:r w:rsidR="005917B6">
        <w:t xml:space="preserve">), </w:t>
      </w:r>
      <w:r w:rsidR="00B12886">
        <w:t>Survey Committee Co-Chair (2022-</w:t>
      </w:r>
      <w:r w:rsidR="004B146E">
        <w:t>24</w:t>
      </w:r>
      <w:r w:rsidR="00B12886">
        <w:t xml:space="preserve">), </w:t>
      </w:r>
      <w:r w:rsidR="005917B6">
        <w:t>Long Range</w:t>
      </w:r>
      <w:r w:rsidR="00B12886">
        <w:t xml:space="preserve"> </w:t>
      </w:r>
      <w:r w:rsidR="005917B6">
        <w:t>Planning Committee (2022-</w:t>
      </w:r>
      <w:r w:rsidR="00E76360">
        <w:t>2024</w:t>
      </w:r>
      <w:r w:rsidR="005917B6">
        <w:t>),</w:t>
      </w:r>
      <w:r w:rsidR="0077163B">
        <w:t xml:space="preserve"> </w:t>
      </w:r>
      <w:proofErr w:type="spellStart"/>
      <w:r w:rsidR="005917B6">
        <w:t>Visitorship</w:t>
      </w:r>
      <w:proofErr w:type="spellEnd"/>
      <w:r w:rsidR="005917B6">
        <w:t xml:space="preserve"> Study Committee (2022-</w:t>
      </w:r>
      <w:r w:rsidR="004B146E">
        <w:t>24</w:t>
      </w:r>
      <w:r w:rsidR="005917B6">
        <w:t>)</w:t>
      </w:r>
      <w:r w:rsidR="0077163B">
        <w:t xml:space="preserve">, </w:t>
      </w:r>
      <w:r w:rsidR="005818CD">
        <w:t xml:space="preserve">Law School Dean Search Committee (2023), </w:t>
      </w:r>
      <w:r w:rsidR="00B12886">
        <w:t>Student Relations Committee (2022-2</w:t>
      </w:r>
      <w:r w:rsidR="000830E3">
        <w:t>3</w:t>
      </w:r>
      <w:r w:rsidR="00B12886">
        <w:t xml:space="preserve">), Faculty Advisor to Sports Law Society (2022-), Faculty Advisor to Aggie Bar Association (2023-), Faculty Advisor </w:t>
      </w:r>
      <w:r w:rsidR="0077163B">
        <w:t>for students’ directed research and law review notes</w:t>
      </w:r>
    </w:p>
    <w:p w14:paraId="18B31889" w14:textId="77777777" w:rsidR="007A21D3" w:rsidRPr="007A21D3" w:rsidRDefault="007A21D3" w:rsidP="007A21D3">
      <w:pPr>
        <w:rPr>
          <w:bCs/>
        </w:rPr>
      </w:pPr>
    </w:p>
    <w:p w14:paraId="40D1751B" w14:textId="77777777" w:rsidR="00AC6460" w:rsidRDefault="00AC6460" w:rsidP="00AC6460">
      <w:r>
        <w:rPr>
          <w:b/>
        </w:rPr>
        <w:t>NYU School of Law</w:t>
      </w:r>
      <w:r w:rsidRPr="00091926">
        <w:t>,</w:t>
      </w:r>
      <w:r>
        <w:t xml:space="preserve"> New York, New York</w:t>
      </w:r>
    </w:p>
    <w:p w14:paraId="3E867376" w14:textId="77777777" w:rsidR="00AC6460" w:rsidRDefault="00AC6460" w:rsidP="00AC6460">
      <w:r>
        <w:tab/>
      </w:r>
      <w:r>
        <w:rPr>
          <w:i/>
          <w:iCs/>
        </w:rPr>
        <w:t>Acting Assistant Professor of Lawyering</w:t>
      </w:r>
      <w:r>
        <w:t>, June 2019</w:t>
      </w:r>
      <w:r w:rsidRPr="00FA3FBB">
        <w:rPr>
          <w:bCs/>
          <w:color w:val="000000" w:themeColor="text1"/>
          <w:shd w:val="clear" w:color="auto" w:fill="FFFFFF"/>
        </w:rPr>
        <w:t>–</w:t>
      </w:r>
      <w:r>
        <w:t>April 2021</w:t>
      </w:r>
    </w:p>
    <w:p w14:paraId="4E1AD735" w14:textId="77777777" w:rsidR="00F33C84" w:rsidRPr="007A21D3" w:rsidRDefault="00F33C84" w:rsidP="00F33C84">
      <w:pPr>
        <w:ind w:firstLine="720"/>
      </w:pPr>
      <w:r>
        <w:rPr>
          <w:i/>
          <w:iCs/>
        </w:rPr>
        <w:t>Teaching</w:t>
      </w:r>
      <w:r>
        <w:t>: Lawyering (full-year course on legal writing, research, and lawyering skills)</w:t>
      </w:r>
    </w:p>
    <w:p w14:paraId="5DAAFE1F" w14:textId="2D6E6316" w:rsidR="0077163B" w:rsidRDefault="00AC6460" w:rsidP="00917321">
      <w:r>
        <w:tab/>
      </w:r>
      <w:r>
        <w:rPr>
          <w:i/>
        </w:rPr>
        <w:t>Service</w:t>
      </w:r>
      <w:r>
        <w:t>:</w:t>
      </w:r>
      <w:r w:rsidR="00F33C84">
        <w:t xml:space="preserve"> </w:t>
      </w:r>
      <w:r>
        <w:t>Co-Chair, Lawyering Scholarship Colloquium</w:t>
      </w:r>
      <w:r w:rsidR="005917B6">
        <w:t xml:space="preserve"> (2020-21</w:t>
      </w:r>
      <w:r w:rsidR="0077163B">
        <w:t xml:space="preserve">), </w:t>
      </w:r>
      <w:r>
        <w:t xml:space="preserve">Orientation </w:t>
      </w:r>
    </w:p>
    <w:p w14:paraId="648AC251" w14:textId="6CB13A40" w:rsidR="00AC6460" w:rsidRDefault="00AC6460" w:rsidP="0077163B">
      <w:pPr>
        <w:tabs>
          <w:tab w:val="left" w:pos="1620"/>
        </w:tabs>
        <w:ind w:left="1620" w:hanging="900"/>
      </w:pPr>
      <w:r>
        <w:t>Committee</w:t>
      </w:r>
      <w:r w:rsidR="005917B6">
        <w:t xml:space="preserve"> (2020-21)</w:t>
      </w:r>
      <w:r w:rsidR="0077163B">
        <w:t xml:space="preserve">, </w:t>
      </w:r>
      <w:r>
        <w:t>Negotiation Exercise Committee</w:t>
      </w:r>
      <w:r w:rsidR="005917B6">
        <w:t xml:space="preserve"> (2019-2021)</w:t>
      </w:r>
    </w:p>
    <w:p w14:paraId="7CE9935B" w14:textId="77777777" w:rsidR="007A21D3" w:rsidRDefault="007A21D3" w:rsidP="007A21D3">
      <w:pPr>
        <w:rPr>
          <w:b/>
          <w:sz w:val="28"/>
          <w:szCs w:val="28"/>
          <w:u w:val="single"/>
        </w:rPr>
      </w:pPr>
    </w:p>
    <w:p w14:paraId="4AA7BF21" w14:textId="711806BB" w:rsidR="004055FB" w:rsidRDefault="00841496" w:rsidP="00523E08">
      <w:pPr>
        <w:jc w:val="center"/>
        <w:rPr>
          <w:b/>
          <w:sz w:val="28"/>
          <w:szCs w:val="28"/>
          <w:u w:val="single"/>
        </w:rPr>
      </w:pPr>
      <w:r>
        <w:rPr>
          <w:b/>
          <w:sz w:val="28"/>
          <w:szCs w:val="28"/>
          <w:u w:val="single"/>
        </w:rPr>
        <w:t>SCHOLARSHIP</w:t>
      </w:r>
    </w:p>
    <w:p w14:paraId="41C71F62" w14:textId="0F0BB85D" w:rsidR="00604F6E" w:rsidRDefault="00604F6E" w:rsidP="00523E08">
      <w:pPr>
        <w:jc w:val="center"/>
        <w:rPr>
          <w:b/>
          <w:sz w:val="28"/>
          <w:szCs w:val="28"/>
          <w:u w:val="single"/>
        </w:rPr>
      </w:pPr>
    </w:p>
    <w:p w14:paraId="4FAC7F62" w14:textId="2947760D" w:rsidR="00604F6E" w:rsidRPr="00604F6E" w:rsidRDefault="00604F6E" w:rsidP="00604F6E">
      <w:pPr>
        <w:jc w:val="center"/>
        <w:rPr>
          <w:b/>
        </w:rPr>
      </w:pPr>
      <w:r w:rsidRPr="00604F6E">
        <w:rPr>
          <w:b/>
        </w:rPr>
        <w:t>Law Review</w:t>
      </w:r>
      <w:r w:rsidR="007C356D">
        <w:rPr>
          <w:b/>
        </w:rPr>
        <w:t xml:space="preserve"> </w:t>
      </w:r>
      <w:r w:rsidR="00592E3E">
        <w:rPr>
          <w:b/>
        </w:rPr>
        <w:t>Paper</w:t>
      </w:r>
      <w:r w:rsidR="007C356D">
        <w:rPr>
          <w:b/>
        </w:rPr>
        <w:t>s</w:t>
      </w:r>
    </w:p>
    <w:p w14:paraId="4630A088" w14:textId="77777777" w:rsidR="005900CE" w:rsidRDefault="005900CE" w:rsidP="00604F6E"/>
    <w:p w14:paraId="26D050FB" w14:textId="240F9D7F" w:rsidR="00251106" w:rsidRDefault="00251106" w:rsidP="00604F6E">
      <w:r>
        <w:rPr>
          <w:i/>
          <w:iCs/>
        </w:rPr>
        <w:t>A Two-System Theory of Negligence</w:t>
      </w:r>
      <w:r>
        <w:t xml:space="preserve">, 93 </w:t>
      </w:r>
      <w:r w:rsidRPr="00251106">
        <w:rPr>
          <w:smallCaps/>
        </w:rPr>
        <w:t>Univ</w:t>
      </w:r>
      <w:r>
        <w:rPr>
          <w:smallCaps/>
        </w:rPr>
        <w:t>ersity</w:t>
      </w:r>
      <w:r w:rsidRPr="00251106">
        <w:rPr>
          <w:smallCaps/>
        </w:rPr>
        <w:t xml:space="preserve"> of Chicago Law Review</w:t>
      </w:r>
      <w:r>
        <w:t xml:space="preserve"> __ (forthcoming</w:t>
      </w:r>
      <w:r w:rsidR="006F505A">
        <w:t xml:space="preserve"> 2026</w:t>
      </w:r>
      <w:r>
        <w:t>)</w:t>
      </w:r>
    </w:p>
    <w:p w14:paraId="7631550D" w14:textId="063F9485" w:rsidR="00251106" w:rsidRDefault="00251106" w:rsidP="00251106">
      <w:pPr>
        <w:pStyle w:val="ListParagraph"/>
        <w:numPr>
          <w:ilvl w:val="0"/>
          <w:numId w:val="26"/>
        </w:numPr>
      </w:pPr>
      <w:r>
        <w:t>Draws on the two-</w:t>
      </w:r>
      <w:r w:rsidRPr="00251106">
        <w:t>system theory of cognition</w:t>
      </w:r>
      <w:r>
        <w:t xml:space="preserve"> to distinguish</w:t>
      </w:r>
      <w:r w:rsidRPr="00251106">
        <w:t xml:space="preserve"> tort negligence claims premised on </w:t>
      </w:r>
      <w:r>
        <w:t xml:space="preserve">alleged </w:t>
      </w:r>
      <w:r w:rsidRPr="00251106">
        <w:t xml:space="preserve">shortcomings of </w:t>
      </w:r>
      <w:r>
        <w:t xml:space="preserve">unconscious, </w:t>
      </w:r>
      <w:r w:rsidRPr="00251106">
        <w:t>“system-one” cognitive processes (</w:t>
      </w:r>
      <w:r w:rsidRPr="00251106">
        <w:rPr>
          <w:i/>
          <w:iCs/>
        </w:rPr>
        <w:t>e.g.</w:t>
      </w:r>
      <w:r w:rsidRPr="00251106">
        <w:t>, a driver’s failure to see a deer enter the road in time to stop) from those premised on</w:t>
      </w:r>
      <w:r>
        <w:t xml:space="preserve"> alleged</w:t>
      </w:r>
      <w:r w:rsidRPr="00251106">
        <w:t xml:space="preserve"> shortcomings of conscious, “system-two” cognitive processes (</w:t>
      </w:r>
      <w:r w:rsidRPr="00251106">
        <w:rPr>
          <w:i/>
          <w:iCs/>
        </w:rPr>
        <w:t>e.g.</w:t>
      </w:r>
      <w:r w:rsidRPr="00251106">
        <w:t>,</w:t>
      </w:r>
      <w:r w:rsidRPr="00251106">
        <w:rPr>
          <w:i/>
          <w:iCs/>
        </w:rPr>
        <w:t xml:space="preserve"> </w:t>
      </w:r>
      <w:r w:rsidRPr="00251106">
        <w:t>a manufacturer’s reasoned choice to omit a safety feature like automated braking)</w:t>
      </w:r>
      <w:r>
        <w:t xml:space="preserve">.  Argues </w:t>
      </w:r>
      <w:r w:rsidRPr="00251106">
        <w:t>that courts and juries should evaluate—and in fact, do evaluate—the two types of claims based on different criteria.  </w:t>
      </w:r>
    </w:p>
    <w:p w14:paraId="43287782" w14:textId="74A691FC" w:rsidR="007F1086" w:rsidRDefault="007F1086" w:rsidP="00604F6E">
      <w:hyperlink r:id="rId8" w:history="1">
        <w:r w:rsidRPr="00B96922">
          <w:rPr>
            <w:rStyle w:val="Hyperlink"/>
            <w:i/>
            <w:iCs/>
            <w:u w:val="none"/>
          </w:rPr>
          <w:t>The Hand Formula’s Unequal Inputs</w:t>
        </w:r>
      </w:hyperlink>
      <w:r w:rsidR="00B96922" w:rsidRPr="00B96922">
        <w:t>,</w:t>
      </w:r>
      <w:r w:rsidR="00B96922">
        <w:t xml:space="preserve"> 135 </w:t>
      </w:r>
      <w:r w:rsidR="00B96922" w:rsidRPr="00B96922">
        <w:rPr>
          <w:smallCaps/>
        </w:rPr>
        <w:t>Yale Law Journal</w:t>
      </w:r>
      <w:r w:rsidR="00B96922">
        <w:t xml:space="preserve"> </w:t>
      </w:r>
      <w:r w:rsidR="003F346B">
        <w:t>461 (2025)</w:t>
      </w:r>
    </w:p>
    <w:p w14:paraId="6250A32B" w14:textId="1856EC28" w:rsidR="006F4278" w:rsidRDefault="001C34DE" w:rsidP="006F4278">
      <w:pPr>
        <w:pStyle w:val="ListParagraph"/>
        <w:numPr>
          <w:ilvl w:val="0"/>
          <w:numId w:val="25"/>
        </w:numPr>
      </w:pPr>
      <w:r>
        <w:t>Examines</w:t>
      </w:r>
      <w:r w:rsidR="006F4278">
        <w:t xml:space="preserve"> tort theory to identify competing Kantian and economic predictions about the criteria</w:t>
      </w:r>
      <w:r>
        <w:t xml:space="preserve"> that</w:t>
      </w:r>
      <w:r w:rsidR="006F4278">
        <w:t xml:space="preserve"> laypeople use </w:t>
      </w:r>
      <w:r>
        <w:t>to judge</w:t>
      </w:r>
      <w:r w:rsidR="006F4278">
        <w:t xml:space="preserve"> whether conduct is reasonable.  Tests these competing predictions through a series of five original experiments, finding evidence that economic and Kantian considerations each influence lay judgments of reasonableness.  In short, </w:t>
      </w:r>
      <w:r w:rsidR="006F4278" w:rsidRPr="006F4278">
        <w:t xml:space="preserve">the </w:t>
      </w:r>
      <w:r w:rsidR="006F4278">
        <w:t xml:space="preserve">inputs of the well-known Hand Formula </w:t>
      </w:r>
      <w:r w:rsidR="006F4278" w:rsidRPr="006F4278">
        <w:t>do not have equal weight in decisionmakers’ minds</w:t>
      </w:r>
      <w:r w:rsidR="006F4278">
        <w:t xml:space="preserve">: Participants appear to give extra, Kantian weight to </w:t>
      </w:r>
      <w:r w:rsidR="006F4278" w:rsidRPr="006F4278">
        <w:t>P</w:t>
      </w:r>
      <w:r w:rsidR="006F4278">
        <w:t xml:space="preserve"> (though </w:t>
      </w:r>
      <w:r w:rsidR="006F4278" w:rsidRPr="006F4278">
        <w:t xml:space="preserve">decisionmakers may not be conscious of </w:t>
      </w:r>
      <w:r w:rsidR="006F4278">
        <w:t xml:space="preserve">P’s </w:t>
      </w:r>
      <w:r w:rsidR="006F4278" w:rsidRPr="006F4278">
        <w:t>outsized influence</w:t>
      </w:r>
      <w:r w:rsidR="006F4278">
        <w:t>)</w:t>
      </w:r>
      <w:r w:rsidR="006F4278" w:rsidRPr="006F4278">
        <w:t xml:space="preserve">.  </w:t>
      </w:r>
    </w:p>
    <w:p w14:paraId="7793CD47" w14:textId="4C93BD92" w:rsidR="006F4278" w:rsidRDefault="006F4278" w:rsidP="006F4278">
      <w:pPr>
        <w:pStyle w:val="ListParagraph"/>
        <w:numPr>
          <w:ilvl w:val="0"/>
          <w:numId w:val="25"/>
        </w:numPr>
      </w:pPr>
      <w:r>
        <w:t>Winner</w:t>
      </w:r>
      <w:r w:rsidR="007A0EBC">
        <w:t xml:space="preserve">, </w:t>
      </w:r>
      <w:r>
        <w:t>2025 AALS Scholarly Papers Competition (a national scholarly paper competition for law teachers with five or fewer years</w:t>
      </w:r>
      <w:r w:rsidR="00D3705B">
        <w:t xml:space="preserve"> of </w:t>
      </w:r>
      <w:r>
        <w:t xml:space="preserve">experience writing in any area of law: </w:t>
      </w:r>
      <w:hyperlink r:id="rId9" w:history="1">
        <w:r w:rsidRPr="009D6236">
          <w:rPr>
            <w:rStyle w:val="Hyperlink"/>
          </w:rPr>
          <w:t>https://www.aals.org/new-faculty/scholarly-papers/</w:t>
        </w:r>
      </w:hyperlink>
      <w:r>
        <w:t>)</w:t>
      </w:r>
    </w:p>
    <w:p w14:paraId="2FDF4083" w14:textId="37158EA6" w:rsidR="00056EC8" w:rsidRDefault="00056EC8" w:rsidP="006F4278">
      <w:pPr>
        <w:pStyle w:val="ListParagraph"/>
        <w:numPr>
          <w:ilvl w:val="0"/>
          <w:numId w:val="25"/>
        </w:numPr>
      </w:pPr>
      <w:r>
        <w:t xml:space="preserve">Selected for reprint in </w:t>
      </w:r>
      <w:r>
        <w:rPr>
          <w:i/>
          <w:iCs/>
        </w:rPr>
        <w:t>Defense Law Journal</w:t>
      </w:r>
      <w:r>
        <w:t xml:space="preserve">, a LexisNexis journal that selects articles of </w:t>
      </w:r>
      <w:proofErr w:type="gramStart"/>
      <w:r>
        <w:t>particular value</w:t>
      </w:r>
      <w:proofErr w:type="gramEnd"/>
      <w:r>
        <w:t xml:space="preserve"> to civil defense, insurance, and corporate counsel. </w:t>
      </w:r>
    </w:p>
    <w:p w14:paraId="11E433DC" w14:textId="77777777" w:rsidR="00B96922" w:rsidRPr="007F1086" w:rsidRDefault="00B96922" w:rsidP="007F1086">
      <w:pPr>
        <w:pStyle w:val="ListParagraph"/>
      </w:pPr>
    </w:p>
    <w:p w14:paraId="34739E32" w14:textId="25A8914C" w:rsidR="005900CE" w:rsidRPr="0008772C" w:rsidRDefault="005900CE" w:rsidP="0008772C">
      <w:hyperlink r:id="rId10" w:history="1">
        <w:r w:rsidRPr="00673B5A">
          <w:rPr>
            <w:rStyle w:val="Hyperlink"/>
            <w:i/>
            <w:iCs/>
            <w:u w:val="none"/>
          </w:rPr>
          <w:t>Katz’s Imperfect Circle: An Empirical Study of Reasonable Expectations of Privacy</w:t>
        </w:r>
      </w:hyperlink>
      <w:r w:rsidR="000830E3" w:rsidRPr="00673B5A">
        <w:t>,</w:t>
      </w:r>
      <w:r w:rsidR="000830E3">
        <w:t xml:space="preserve"> 77 </w:t>
      </w:r>
      <w:r w:rsidR="000830E3" w:rsidRPr="000830E3">
        <w:rPr>
          <w:smallCaps/>
        </w:rPr>
        <w:t>Florida Law Review</w:t>
      </w:r>
      <w:r w:rsidR="000830E3">
        <w:t xml:space="preserve"> </w:t>
      </w:r>
      <w:r w:rsidR="003F346B">
        <w:t xml:space="preserve">593 </w:t>
      </w:r>
      <w:r w:rsidR="00383575">
        <w:t>(</w:t>
      </w:r>
      <w:r w:rsidR="00243A1B">
        <w:t>2025</w:t>
      </w:r>
      <w:r w:rsidR="000830E3">
        <w:t>)</w:t>
      </w:r>
      <w:r w:rsidR="005818CD">
        <w:t xml:space="preserve"> </w:t>
      </w:r>
      <w:r>
        <w:t xml:space="preserve">(with Tonja Jacobi) </w:t>
      </w:r>
    </w:p>
    <w:p w14:paraId="419C7F46" w14:textId="59758167" w:rsidR="005900CE" w:rsidRPr="0008772C" w:rsidRDefault="00FD002A" w:rsidP="005900CE">
      <w:pPr>
        <w:pStyle w:val="ListParagraph"/>
        <w:numPr>
          <w:ilvl w:val="0"/>
          <w:numId w:val="24"/>
        </w:numPr>
        <w:rPr>
          <w:smallCaps/>
        </w:rPr>
      </w:pPr>
      <w:r>
        <w:t>Investigates</w:t>
      </w:r>
      <w:r w:rsidR="0008772C" w:rsidRPr="0008772C">
        <w:t xml:space="preserve"> the claim that Fourth Amendment analysis under </w:t>
      </w:r>
      <w:r w:rsidR="0008772C" w:rsidRPr="0008772C">
        <w:rPr>
          <w:i/>
          <w:iCs/>
        </w:rPr>
        <w:t>United States v. Katz</w:t>
      </w:r>
      <w:r w:rsidR="0008772C" w:rsidRPr="0008772C">
        <w:t xml:space="preserve"> is circular</w:t>
      </w:r>
      <w:r w:rsidR="00243A1B">
        <w:t>.  I</w:t>
      </w:r>
      <w:r w:rsidR="0008772C" w:rsidRPr="0008772C">
        <w:t>dentifies</w:t>
      </w:r>
      <w:r>
        <w:t xml:space="preserve"> six</w:t>
      </w:r>
      <w:r w:rsidR="0008772C" w:rsidRPr="0008772C">
        <w:t xml:space="preserve"> potential</w:t>
      </w:r>
      <w:r w:rsidR="00243A1B">
        <w:t xml:space="preserve"> circularity risks</w:t>
      </w:r>
      <w:r w:rsidR="0008772C" w:rsidRPr="0008772C">
        <w:t xml:space="preserve">, reports two empirical studies examining </w:t>
      </w:r>
      <w:r w:rsidR="00243A1B">
        <w:t xml:space="preserve">these </w:t>
      </w:r>
      <w:r w:rsidR="0008772C" w:rsidRPr="0008772C">
        <w:t>risk</w:t>
      </w:r>
      <w:r w:rsidR="00AE1DE9">
        <w:t>s</w:t>
      </w:r>
      <w:r w:rsidR="0008772C" w:rsidRPr="0008772C">
        <w:t>, and contends that social science evidence c</w:t>
      </w:r>
      <w:r w:rsidR="00243A1B">
        <w:t>an</w:t>
      </w:r>
      <w:r w:rsidR="0008772C" w:rsidRPr="0008772C">
        <w:t xml:space="preserve"> usefully anchor Fourth Amendment </w:t>
      </w:r>
      <w:r>
        <w:t>analysis</w:t>
      </w:r>
      <w:r w:rsidR="0008772C" w:rsidRPr="0008772C">
        <w:t xml:space="preserve">.  </w:t>
      </w:r>
    </w:p>
    <w:p w14:paraId="70D2522E" w14:textId="77777777" w:rsidR="005900CE" w:rsidRPr="005900CE" w:rsidRDefault="005900CE" w:rsidP="00604F6E">
      <w:pPr>
        <w:rPr>
          <w:bCs/>
          <w:i/>
          <w:iCs/>
          <w:sz w:val="28"/>
          <w:szCs w:val="28"/>
        </w:rPr>
      </w:pPr>
    </w:p>
    <w:p w14:paraId="11034DB0" w14:textId="217918B6" w:rsidR="008F1009" w:rsidRDefault="00B91DD9" w:rsidP="00B91DD9">
      <w:pPr>
        <w:ind w:left="720" w:hanging="720"/>
      </w:pPr>
      <w:hyperlink r:id="rId11" w:history="1">
        <w:r w:rsidRPr="00D54DEA">
          <w:rPr>
            <w:rStyle w:val="Hyperlink"/>
            <w:i/>
            <w:u w:val="none"/>
          </w:rPr>
          <w:t>The Empirical Reasonable Person</w:t>
        </w:r>
      </w:hyperlink>
      <w:r>
        <w:t xml:space="preserve">, 72 </w:t>
      </w:r>
      <w:r w:rsidR="00EA71F8">
        <w:rPr>
          <w:smallCaps/>
        </w:rPr>
        <w:t>Alabama Law Review</w:t>
      </w:r>
      <w:r>
        <w:t xml:space="preserve"> 887 (2021) </w:t>
      </w:r>
    </w:p>
    <w:p w14:paraId="5F37234F" w14:textId="07FD36A4" w:rsidR="00AC58E7" w:rsidRPr="004919B4" w:rsidRDefault="00AC58E7" w:rsidP="00AC58E7">
      <w:pPr>
        <w:pStyle w:val="ListParagraph"/>
        <w:numPr>
          <w:ilvl w:val="0"/>
          <w:numId w:val="21"/>
        </w:numPr>
      </w:pPr>
      <w:r>
        <w:t xml:space="preserve">Demonstrates, through original experiments, that lay judgments about whether conduct is reasonable are influenced by information about community customs </w:t>
      </w:r>
      <w:r w:rsidR="00AF3068">
        <w:t>more than</w:t>
      </w:r>
      <w:r>
        <w:t xml:space="preserve"> by information about whether the conduct is cost-justified under the Hand Formula.  Argues that tort law’s reasonable person standard does, and should, reflect this lay understanding.</w:t>
      </w:r>
    </w:p>
    <w:p w14:paraId="08E11D74" w14:textId="132B6F50" w:rsidR="00B91DD9" w:rsidRDefault="00521298" w:rsidP="00B91DD9">
      <w:pPr>
        <w:pStyle w:val="ListParagraph"/>
        <w:numPr>
          <w:ilvl w:val="0"/>
          <w:numId w:val="21"/>
        </w:numPr>
      </w:pPr>
      <w:r>
        <w:t xml:space="preserve">Legal Theory Blog </w:t>
      </w:r>
      <w:r w:rsidR="00B91DD9">
        <w:t>“Download of the Week</w:t>
      </w:r>
      <w:r>
        <w:t>.”</w:t>
      </w:r>
    </w:p>
    <w:p w14:paraId="5857C046" w14:textId="77777777" w:rsidR="00737760" w:rsidRDefault="00BF2419" w:rsidP="00737760">
      <w:pPr>
        <w:pStyle w:val="ListParagraph"/>
        <w:numPr>
          <w:ilvl w:val="0"/>
          <w:numId w:val="21"/>
        </w:numPr>
      </w:pPr>
      <w:r>
        <w:t>Featured on the Persuasive Litigator Blog</w:t>
      </w:r>
      <w:r w:rsidR="00737760">
        <w:t xml:space="preserve"> (now hosted on </w:t>
      </w:r>
      <w:proofErr w:type="spellStart"/>
      <w:r w:rsidR="00737760">
        <w:t>JDSupra</w:t>
      </w:r>
      <w:proofErr w:type="spellEnd"/>
      <w:r w:rsidR="00737760">
        <w:t xml:space="preserve">: </w:t>
      </w:r>
      <w:hyperlink r:id="rId12" w:history="1">
        <w:r w:rsidR="00737760" w:rsidRPr="00774A9D">
          <w:rPr>
            <w:rStyle w:val="Hyperlink"/>
          </w:rPr>
          <w:t>https://www.jdsupra.com/legalnews/treat-the-reasonable-person-not-as-an-1928477/</w:t>
        </w:r>
      </w:hyperlink>
      <w:r w:rsidR="00737760">
        <w:t>)</w:t>
      </w:r>
    </w:p>
    <w:p w14:paraId="5512C684" w14:textId="6EC48DC2" w:rsidR="00AF3068" w:rsidRDefault="00AF3068" w:rsidP="00737760">
      <w:pPr>
        <w:pStyle w:val="ListParagraph"/>
        <w:numPr>
          <w:ilvl w:val="0"/>
          <w:numId w:val="21"/>
        </w:numPr>
      </w:pPr>
      <w:r>
        <w:t xml:space="preserve">Cited in </w:t>
      </w:r>
      <w:r w:rsidRPr="00737760">
        <w:rPr>
          <w:i/>
          <w:iCs/>
        </w:rPr>
        <w:t>Garey v. Langley</w:t>
      </w:r>
      <w:r>
        <w:t xml:space="preserve">, </w:t>
      </w:r>
      <w:r w:rsidR="00CC610E">
        <w:t xml:space="preserve">No. 2:17-cv-00117-LPR, </w:t>
      </w:r>
      <w:r w:rsidR="00A52779">
        <w:t>2021 U.S. Dist. LEXIS 172791</w:t>
      </w:r>
      <w:r w:rsidR="00CC610E">
        <w:t xml:space="preserve"> </w:t>
      </w:r>
      <w:r>
        <w:t>(E.D. Ark. Sept. 13, 2021)</w:t>
      </w:r>
      <w:r w:rsidR="00A52779">
        <w:t>.</w:t>
      </w:r>
    </w:p>
    <w:p w14:paraId="18B76123" w14:textId="78ABC6B5" w:rsidR="00A52779" w:rsidRDefault="00A52779" w:rsidP="00737760">
      <w:pPr>
        <w:pStyle w:val="ListParagraph"/>
        <w:numPr>
          <w:ilvl w:val="0"/>
          <w:numId w:val="21"/>
        </w:numPr>
      </w:pPr>
      <w:r>
        <w:t xml:space="preserve">Cited in </w:t>
      </w:r>
      <w:r>
        <w:rPr>
          <w:i/>
          <w:iCs/>
        </w:rPr>
        <w:t>Cooke v. Iowa Department of Health and Human Services</w:t>
      </w:r>
      <w:r>
        <w:t xml:space="preserve">, </w:t>
      </w:r>
      <w:r w:rsidR="00CC610E">
        <w:t xml:space="preserve">No. 24-2031, </w:t>
      </w:r>
      <w:r>
        <w:t>2026 Iowa Sup. LEXIS 21 (Iowa Feb. 13, 2026)</w:t>
      </w:r>
      <w:r w:rsidR="001C34DE">
        <w:t>.</w:t>
      </w:r>
      <w:r>
        <w:t xml:space="preserve"> </w:t>
      </w:r>
    </w:p>
    <w:p w14:paraId="0E37AE83" w14:textId="4CAAE66A" w:rsidR="0096266B" w:rsidRDefault="0096266B" w:rsidP="00C229E6">
      <w:pPr>
        <w:rPr>
          <w:i/>
        </w:rPr>
      </w:pPr>
    </w:p>
    <w:p w14:paraId="075BD411" w14:textId="79B8EAA7" w:rsidR="00FA3FBB" w:rsidRDefault="00841496" w:rsidP="007E5BD1">
      <w:hyperlink r:id="rId13" w:history="1">
        <w:r w:rsidRPr="00D54DEA">
          <w:rPr>
            <w:rStyle w:val="Hyperlink"/>
            <w:i/>
            <w:iCs/>
            <w:u w:val="none"/>
          </w:rPr>
          <w:t>Thinking Quantum: A New Perspective on Decision Making in Law</w:t>
        </w:r>
      </w:hyperlink>
      <w:r w:rsidRPr="007D71FE">
        <w:t xml:space="preserve">, </w:t>
      </w:r>
      <w:r>
        <w:t xml:space="preserve">46 </w:t>
      </w:r>
      <w:r w:rsidR="00EA71F8">
        <w:rPr>
          <w:smallCaps/>
        </w:rPr>
        <w:t>Florida State University Law Review</w:t>
      </w:r>
      <w:r>
        <w:rPr>
          <w:smallCaps/>
        </w:rPr>
        <w:t xml:space="preserve"> </w:t>
      </w:r>
      <w:r>
        <w:t>733 (2019) (with Jennifer S. Trueblood)</w:t>
      </w:r>
      <w:r w:rsidR="00374BC7">
        <w:t xml:space="preserve"> (first author)</w:t>
      </w:r>
    </w:p>
    <w:p w14:paraId="1CA72B1F" w14:textId="77777777" w:rsidR="00AC58E7" w:rsidRPr="007E5BD1" w:rsidRDefault="00AC58E7" w:rsidP="00AC58E7">
      <w:pPr>
        <w:pStyle w:val="ListParagraph"/>
        <w:numPr>
          <w:ilvl w:val="0"/>
          <w:numId w:val="16"/>
        </w:numPr>
        <w:rPr>
          <w:b/>
        </w:rPr>
      </w:pPr>
      <w:r>
        <w:t>Argues that the emerging psychological theory of quantum decision making usefully complements behavioral law and economics, uses the theory to emphasize the importance of sequence in law’s choice architecture, and identifies testable predictions derived from the theory about a variety of law-related decisions.</w:t>
      </w:r>
    </w:p>
    <w:p w14:paraId="4D6ACF4A" w14:textId="6F5E7BF3" w:rsidR="00604F6E" w:rsidRDefault="00604F6E" w:rsidP="00604F6E">
      <w:pPr>
        <w:rPr>
          <w:b/>
        </w:rPr>
      </w:pPr>
    </w:p>
    <w:p w14:paraId="40463F00" w14:textId="6D8196AE" w:rsidR="00841496" w:rsidRDefault="00841496" w:rsidP="00F974A1">
      <w:pPr>
        <w:tabs>
          <w:tab w:val="left" w:pos="9270"/>
        </w:tabs>
      </w:pPr>
      <w:hyperlink r:id="rId14" w:history="1">
        <w:r w:rsidRPr="00D54DEA">
          <w:rPr>
            <w:rStyle w:val="Hyperlink"/>
            <w:i/>
            <w:iCs/>
            <w:u w:val="none"/>
          </w:rPr>
          <w:t>Defending a Social Learning Explanation: A Comment on the Origins of Shared Intuitions of Justice</w:t>
        </w:r>
      </w:hyperlink>
      <w:r w:rsidRPr="007D71FE">
        <w:t>, 62</w:t>
      </w:r>
      <w:r w:rsidRPr="007D71FE">
        <w:rPr>
          <w:i/>
        </w:rPr>
        <w:t xml:space="preserve"> </w:t>
      </w:r>
      <w:r w:rsidRPr="007D71FE">
        <w:rPr>
          <w:smallCaps/>
        </w:rPr>
        <w:t>Vand</w:t>
      </w:r>
      <w:r w:rsidR="00EA71F8">
        <w:rPr>
          <w:smallCaps/>
        </w:rPr>
        <w:t>erbilt Law Review</w:t>
      </w:r>
      <w:r w:rsidRPr="00DD3A2A">
        <w:rPr>
          <w:smallCaps/>
        </w:rPr>
        <w:t xml:space="preserve"> En Banc </w:t>
      </w:r>
      <w:r>
        <w:t>25 (2009)</w:t>
      </w:r>
      <w:r w:rsidR="008C3B49">
        <w:t xml:space="preserve"> (Note)</w:t>
      </w:r>
    </w:p>
    <w:p w14:paraId="1462742B" w14:textId="0BA231DD" w:rsidR="00251106" w:rsidRPr="00BF17CE" w:rsidRDefault="00AC58E7" w:rsidP="0096266B">
      <w:pPr>
        <w:pStyle w:val="ListParagraph"/>
        <w:numPr>
          <w:ilvl w:val="0"/>
          <w:numId w:val="16"/>
        </w:numPr>
        <w:tabs>
          <w:tab w:val="left" w:pos="9270"/>
        </w:tabs>
        <w:rPr>
          <w:i/>
        </w:rPr>
      </w:pPr>
      <w:r>
        <w:t>Contends that</w:t>
      </w:r>
      <w:r w:rsidR="00243A1B">
        <w:t>, on present evidence,</w:t>
      </w:r>
      <w:r>
        <w:t xml:space="preserve"> widespread cross-cultural similarities in intuitions about justice and punishment are better explained by a psychological theory called social learning theory than by an evolved mechanism in the human brain.</w:t>
      </w:r>
    </w:p>
    <w:p w14:paraId="1658CDD0" w14:textId="35DB6ADF" w:rsidR="00841496" w:rsidRPr="007D71FE" w:rsidRDefault="00841496" w:rsidP="00841496">
      <w:pPr>
        <w:tabs>
          <w:tab w:val="left" w:pos="810"/>
        </w:tabs>
      </w:pPr>
      <w:hyperlink r:id="rId15" w:history="1">
        <w:r w:rsidRPr="00D54DEA">
          <w:rPr>
            <w:rStyle w:val="Hyperlink"/>
            <w:i/>
            <w:iCs/>
            <w:u w:val="none"/>
          </w:rPr>
          <w:t>“Does That Sound Familiar?”: Creators’ Liability for Unconscious Copyright Infringement</w:t>
        </w:r>
      </w:hyperlink>
      <w:r w:rsidRPr="007D71FE">
        <w:t xml:space="preserve">, 61 </w:t>
      </w:r>
      <w:r w:rsidRPr="007D71FE">
        <w:rPr>
          <w:smallCaps/>
        </w:rPr>
        <w:t>Vand</w:t>
      </w:r>
      <w:r w:rsidR="00EA71F8">
        <w:rPr>
          <w:smallCaps/>
        </w:rPr>
        <w:t>erbilt Law Review</w:t>
      </w:r>
      <w:r w:rsidRPr="007D71FE">
        <w:rPr>
          <w:smallCaps/>
        </w:rPr>
        <w:t xml:space="preserve"> 1903 (</w:t>
      </w:r>
      <w:r w:rsidRPr="007D71FE">
        <w:t>2008) (Note)</w:t>
      </w:r>
    </w:p>
    <w:p w14:paraId="17418504" w14:textId="18AC38A7" w:rsidR="00AC58E7" w:rsidRDefault="00AC58E7" w:rsidP="00AC58E7">
      <w:pPr>
        <w:pStyle w:val="ListParagraph"/>
        <w:numPr>
          <w:ilvl w:val="0"/>
          <w:numId w:val="16"/>
        </w:numPr>
        <w:tabs>
          <w:tab w:val="left" w:pos="810"/>
        </w:tabs>
      </w:pPr>
      <w:r>
        <w:t xml:space="preserve">Argues that </w:t>
      </w:r>
      <w:r w:rsidRPr="00546C16">
        <w:t>th</w:t>
      </w:r>
      <w:r>
        <w:t xml:space="preserve">e “subconscious copying doctrine” (which holds copiers liable regardless of whether their copying was conscious) </w:t>
      </w:r>
      <w:r w:rsidRPr="00546C16">
        <w:t>is at odds with copyright law’s twin objectives of incentivizing creative expression and protecting authors’ moral rights</w:t>
      </w:r>
      <w:r>
        <w:t>.  Proposes an alternative approach in which the lack of conscious copying provides a defense</w:t>
      </w:r>
      <w:r w:rsidRPr="00546C16">
        <w:t xml:space="preserve">, but </w:t>
      </w:r>
      <w:r>
        <w:t>the defendant must</w:t>
      </w:r>
      <w:r w:rsidRPr="00546C16">
        <w:t xml:space="preserve"> overcome a rebuttable presumption that any copying was conscious.</w:t>
      </w:r>
    </w:p>
    <w:p w14:paraId="3B5DAFF4" w14:textId="77777777" w:rsidR="00592E3E" w:rsidRDefault="00592E3E" w:rsidP="007C356D">
      <w:pPr>
        <w:tabs>
          <w:tab w:val="left" w:pos="810"/>
        </w:tabs>
        <w:jc w:val="center"/>
        <w:rPr>
          <w:b/>
          <w:bCs/>
        </w:rPr>
      </w:pPr>
    </w:p>
    <w:p w14:paraId="49654BFC" w14:textId="699FC136" w:rsidR="007C356D" w:rsidRDefault="007C356D" w:rsidP="007C356D">
      <w:pPr>
        <w:tabs>
          <w:tab w:val="left" w:pos="810"/>
        </w:tabs>
        <w:jc w:val="center"/>
        <w:rPr>
          <w:b/>
          <w:bCs/>
        </w:rPr>
      </w:pPr>
      <w:r>
        <w:rPr>
          <w:b/>
          <w:bCs/>
        </w:rPr>
        <w:t>Peer-Reviewed P</w:t>
      </w:r>
      <w:r w:rsidR="00592E3E">
        <w:rPr>
          <w:b/>
          <w:bCs/>
        </w:rPr>
        <w:t>apers</w:t>
      </w:r>
    </w:p>
    <w:p w14:paraId="639D96C8" w14:textId="77777777" w:rsidR="00E9537D" w:rsidRDefault="00E9537D" w:rsidP="00604F6E">
      <w:pPr>
        <w:tabs>
          <w:tab w:val="left" w:pos="810"/>
        </w:tabs>
      </w:pPr>
    </w:p>
    <w:p w14:paraId="4ED6F859" w14:textId="49A7C6C5" w:rsidR="00E9537D" w:rsidRDefault="001F02A5" w:rsidP="000D0DD9">
      <w:pPr>
        <w:tabs>
          <w:tab w:val="left" w:pos="810"/>
        </w:tabs>
      </w:pPr>
      <w:hyperlink r:id="rId16" w:history="1">
        <w:r w:rsidRPr="008E1B8B">
          <w:rPr>
            <w:rStyle w:val="Hyperlink"/>
            <w:i/>
            <w:iCs/>
            <w:u w:val="none"/>
          </w:rPr>
          <w:t>Representing Technological “Minds”: How Anthropomorphic Inferences Influence Legal Judgments and Policy Opinions</w:t>
        </w:r>
      </w:hyperlink>
      <w:r w:rsidR="00BF17CE">
        <w:t xml:space="preserve">, </w:t>
      </w:r>
      <w:r w:rsidR="008E1B8B">
        <w:t xml:space="preserve">141 </w:t>
      </w:r>
      <w:r w:rsidR="008E1B8B" w:rsidRPr="008E1B8B">
        <w:rPr>
          <w:smallCaps/>
        </w:rPr>
        <w:t>Consciousness &amp; Cognition</w:t>
      </w:r>
      <w:r w:rsidR="008E1B8B">
        <w:t xml:space="preserve"> 104044 (2026</w:t>
      </w:r>
      <w:r>
        <w:rPr>
          <w:smallCaps/>
        </w:rPr>
        <w:t>) (</w:t>
      </w:r>
      <w:r>
        <w:t>with Daniel T. Levin)</w:t>
      </w:r>
      <w:r w:rsidR="003F346B">
        <w:t xml:space="preserve"> (first author)</w:t>
      </w:r>
    </w:p>
    <w:p w14:paraId="2D4FA1FA" w14:textId="75C470CE" w:rsidR="001F02A5" w:rsidRDefault="00B12886" w:rsidP="00B12886">
      <w:pPr>
        <w:pStyle w:val="ListParagraph"/>
        <w:numPr>
          <w:ilvl w:val="0"/>
          <w:numId w:val="16"/>
        </w:numPr>
        <w:tabs>
          <w:tab w:val="left" w:pos="810"/>
        </w:tabs>
      </w:pPr>
      <w:r>
        <w:t xml:space="preserve">Reports three empirical studies documenting relations between </w:t>
      </w:r>
      <w:r w:rsidR="00901043">
        <w:t>anthropomorphic inferences about</w:t>
      </w:r>
      <w:r>
        <w:t xml:space="preserve"> autonomous technologies, on one hand, and legal judgments and policy opinions about such technologies, on the other.</w:t>
      </w:r>
    </w:p>
    <w:p w14:paraId="52D27766" w14:textId="77777777" w:rsidR="001F02A5" w:rsidRDefault="001F02A5" w:rsidP="000D0DD9">
      <w:pPr>
        <w:tabs>
          <w:tab w:val="left" w:pos="810"/>
        </w:tabs>
        <w:rPr>
          <w:i/>
          <w:iCs/>
        </w:rPr>
      </w:pPr>
    </w:p>
    <w:p w14:paraId="1024B4E2" w14:textId="77777777" w:rsidR="003F346B" w:rsidRDefault="003F346B" w:rsidP="003F346B">
      <w:pPr>
        <w:tabs>
          <w:tab w:val="left" w:pos="810"/>
        </w:tabs>
      </w:pPr>
      <w:hyperlink r:id="rId17" w:history="1">
        <w:r w:rsidRPr="00B96922">
          <w:rPr>
            <w:rStyle w:val="Hyperlink"/>
            <w:i/>
            <w:iCs/>
            <w:u w:val="none"/>
          </w:rPr>
          <w:t>Remembering Conversation in Group Settings</w:t>
        </w:r>
      </w:hyperlink>
      <w:r w:rsidRPr="00B96922">
        <w:t>,</w:t>
      </w:r>
      <w:r>
        <w:t xml:space="preserve"> 53 </w:t>
      </w:r>
      <w:r w:rsidRPr="004B146E">
        <w:rPr>
          <w:smallCaps/>
        </w:rPr>
        <w:t>Memory &amp; Cognition</w:t>
      </w:r>
      <w:r>
        <w:t xml:space="preserve"> 1037 (2025)</w:t>
      </w:r>
      <w:r w:rsidRPr="00B96922">
        <w:t xml:space="preserve"> </w:t>
      </w:r>
      <w:r>
        <w:t>(with Sarah Brown-Schmidt, Kaitlin Lord, &amp; Aaron S. Benjamin)</w:t>
      </w:r>
    </w:p>
    <w:p w14:paraId="6B3BEDC8" w14:textId="77777777" w:rsidR="003F346B" w:rsidRDefault="003F346B" w:rsidP="003F346B">
      <w:pPr>
        <w:pStyle w:val="ListParagraph"/>
        <w:numPr>
          <w:ilvl w:val="0"/>
          <w:numId w:val="16"/>
        </w:numPr>
        <w:tabs>
          <w:tab w:val="left" w:pos="810"/>
        </w:tabs>
      </w:pPr>
      <w:r>
        <w:t>Provides experimental evidence that overhearers (as opposed to active participants) in a group conversation remember less about the content of the conversation and that the information they do recall is less accurately sourced to its actual contributor.  Discusses implications for legal settings.</w:t>
      </w:r>
    </w:p>
    <w:p w14:paraId="765E064D" w14:textId="77777777" w:rsidR="003F346B" w:rsidRDefault="003F346B" w:rsidP="004F324E">
      <w:pPr>
        <w:tabs>
          <w:tab w:val="left" w:pos="810"/>
        </w:tabs>
      </w:pPr>
    </w:p>
    <w:p w14:paraId="6F0DA254" w14:textId="6C2584A1" w:rsidR="004F324E" w:rsidRDefault="004F324E" w:rsidP="004F324E">
      <w:pPr>
        <w:tabs>
          <w:tab w:val="left" w:pos="810"/>
        </w:tabs>
      </w:pPr>
      <w:hyperlink r:id="rId18" w:history="1">
        <w:r w:rsidRPr="00AE1DE9">
          <w:rPr>
            <w:rStyle w:val="Hyperlink"/>
            <w:i/>
            <w:iCs/>
            <w:u w:val="none"/>
          </w:rPr>
          <w:t>Law and Order: The Timing of Mitigating Evidence Affects Punishment Decisions</w:t>
        </w:r>
      </w:hyperlink>
      <w:r>
        <w:t xml:space="preserve">, 30 </w:t>
      </w:r>
      <w:r w:rsidRPr="000D0DD9">
        <w:rPr>
          <w:smallCaps/>
        </w:rPr>
        <w:t>Thinking</w:t>
      </w:r>
      <w:r w:rsidRPr="00492756">
        <w:rPr>
          <w:smallCaps/>
        </w:rPr>
        <w:t xml:space="preserve"> &amp; Reasoning</w:t>
      </w:r>
      <w:r>
        <w:t xml:space="preserve"> 1 (2024) (with Emily B. Conder &amp; Jonathan D. Lane)</w:t>
      </w:r>
    </w:p>
    <w:p w14:paraId="7919543E" w14:textId="77777777" w:rsidR="004F324E" w:rsidRPr="001F02A5" w:rsidRDefault="004F324E" w:rsidP="004F324E">
      <w:pPr>
        <w:pStyle w:val="ListParagraph"/>
        <w:numPr>
          <w:ilvl w:val="0"/>
          <w:numId w:val="16"/>
        </w:numPr>
        <w:tabs>
          <w:tab w:val="left" w:pos="810"/>
        </w:tabs>
      </w:pPr>
      <w:r>
        <w:t xml:space="preserve">In two studies, participants judged the appropriate punishment for various transgressions.  Participants learned about transgressors’ mitigating circumstances either </w:t>
      </w:r>
      <w:r>
        <w:rPr>
          <w:i/>
          <w:iCs/>
        </w:rPr>
        <w:t xml:space="preserve">before </w:t>
      </w:r>
      <w:r>
        <w:t xml:space="preserve">or </w:t>
      </w:r>
      <w:r>
        <w:rPr>
          <w:i/>
          <w:iCs/>
        </w:rPr>
        <w:t xml:space="preserve">after </w:t>
      </w:r>
      <w:r>
        <w:t>learning the details of the transgression.  Evidence of mitigating circumstances reduced punishment only</w:t>
      </w:r>
      <w:r>
        <w:rPr>
          <w:i/>
          <w:iCs/>
        </w:rPr>
        <w:t xml:space="preserve"> </w:t>
      </w:r>
      <w:r>
        <w:t xml:space="preserve">when presented </w:t>
      </w:r>
      <w:r w:rsidRPr="008150BC">
        <w:rPr>
          <w:i/>
          <w:iCs/>
        </w:rPr>
        <w:t xml:space="preserve">before </w:t>
      </w:r>
      <w:r>
        <w:t>evidence of the transgression.  Implications for both moral psychology and law are discussed.</w:t>
      </w:r>
    </w:p>
    <w:p w14:paraId="692C999A" w14:textId="77777777" w:rsidR="004F324E" w:rsidRDefault="004F324E" w:rsidP="000D0DD9">
      <w:pPr>
        <w:tabs>
          <w:tab w:val="left" w:pos="810"/>
        </w:tabs>
      </w:pPr>
    </w:p>
    <w:p w14:paraId="5698FFD1" w14:textId="3D25AB62" w:rsidR="001F02A5" w:rsidRDefault="00F77EDB" w:rsidP="000D0DD9">
      <w:pPr>
        <w:tabs>
          <w:tab w:val="left" w:pos="810"/>
        </w:tabs>
      </w:pPr>
      <w:hyperlink r:id="rId19" w:history="1">
        <w:r w:rsidRPr="008C3B49">
          <w:rPr>
            <w:rStyle w:val="Hyperlink"/>
            <w:i/>
            <w:iCs/>
            <w:u w:val="none"/>
          </w:rPr>
          <w:t>The Roles of Cognitive Dissonance and Normative Reasoning in Attributions of Minds to Robots</w:t>
        </w:r>
      </w:hyperlink>
      <w:r w:rsidRPr="008C3B49">
        <w:t xml:space="preserve">, </w:t>
      </w:r>
      <w:r w:rsidR="003B31EA">
        <w:t>9</w:t>
      </w:r>
      <w:r>
        <w:t xml:space="preserve"> </w:t>
      </w:r>
      <w:r w:rsidRPr="00F77EDB">
        <w:rPr>
          <w:smallCaps/>
        </w:rPr>
        <w:t>Cognitive Research: Principles &amp; Implications</w:t>
      </w:r>
      <w:r w:rsidR="003B31EA">
        <w:rPr>
          <w:smallCaps/>
        </w:rPr>
        <w:t xml:space="preserve"> </w:t>
      </w:r>
      <w:r w:rsidR="003B31EA">
        <w:t>80</w:t>
      </w:r>
      <w:r>
        <w:t xml:space="preserve"> (</w:t>
      </w:r>
      <w:r w:rsidR="003B31EA">
        <w:t>2024</w:t>
      </w:r>
      <w:r>
        <w:t>)</w:t>
      </w:r>
      <w:r w:rsidR="001F02A5">
        <w:t xml:space="preserve"> (with Lewis J. Baker, Hongyue Li, Hugo Hammond, Anne Havard, Jonathan D. Lane, Caroline Harriott, </w:t>
      </w:r>
      <w:r w:rsidR="00901043">
        <w:t xml:space="preserve">&amp; </w:t>
      </w:r>
      <w:r w:rsidR="001F02A5">
        <w:t>Daniel T. Levin)</w:t>
      </w:r>
    </w:p>
    <w:p w14:paraId="1296EE7F" w14:textId="4FEDB4C4" w:rsidR="00B12886" w:rsidRDefault="00901043" w:rsidP="00B12886">
      <w:pPr>
        <w:pStyle w:val="ListParagraph"/>
        <w:numPr>
          <w:ilvl w:val="0"/>
          <w:numId w:val="16"/>
        </w:numPr>
        <w:tabs>
          <w:tab w:val="left" w:pos="810"/>
        </w:tabs>
      </w:pPr>
      <w:r>
        <w:t>Presents two experiments finding significant positive associations between participants’ experience of cognitive dissonance and their tendency to draw anthropomorphic inferences about robots.  Discusses the theoretical relevance of these findings for selective and promiscuous theories of anthropomorphic inference.</w:t>
      </w:r>
    </w:p>
    <w:p w14:paraId="4F4A7448" w14:textId="77777777" w:rsidR="001F02A5" w:rsidRPr="001F02A5" w:rsidRDefault="001F02A5" w:rsidP="000D0DD9">
      <w:pPr>
        <w:tabs>
          <w:tab w:val="left" w:pos="810"/>
        </w:tabs>
      </w:pPr>
    </w:p>
    <w:p w14:paraId="7F4B256B" w14:textId="77777777" w:rsidR="003F346B" w:rsidRDefault="003F346B" w:rsidP="003F346B">
      <w:pPr>
        <w:tabs>
          <w:tab w:val="left" w:pos="810"/>
        </w:tabs>
      </w:pPr>
      <w:hyperlink r:id="rId20" w:history="1">
        <w:r w:rsidRPr="00AE1DE9">
          <w:rPr>
            <w:rStyle w:val="Hyperlink"/>
            <w:i/>
            <w:iCs/>
            <w:u w:val="none"/>
          </w:rPr>
          <w:t>Perceiving Versus Scrutinizing: Viewers Do Not Default to Awareness of Small Spatiotemporal Inconsistencies in Movie Edits</w:t>
        </w:r>
      </w:hyperlink>
      <w:r>
        <w:t xml:space="preserve">, 18 </w:t>
      </w:r>
      <w:proofErr w:type="gramStart"/>
      <w:r w:rsidRPr="001132F9">
        <w:rPr>
          <w:smallCaps/>
        </w:rPr>
        <w:t>Psychol</w:t>
      </w:r>
      <w:r>
        <w:rPr>
          <w:smallCaps/>
        </w:rPr>
        <w:t>ogy</w:t>
      </w:r>
      <w:proofErr w:type="gramEnd"/>
      <w:r w:rsidRPr="001132F9">
        <w:rPr>
          <w:smallCaps/>
        </w:rPr>
        <w:t xml:space="preserve"> of Aesthetics, Creativity, </w:t>
      </w:r>
      <w:r>
        <w:rPr>
          <w:smallCaps/>
        </w:rPr>
        <w:t>&amp;</w:t>
      </w:r>
      <w:r w:rsidRPr="001132F9">
        <w:rPr>
          <w:smallCaps/>
        </w:rPr>
        <w:t xml:space="preserve"> the Arts</w:t>
      </w:r>
      <w:r>
        <w:rPr>
          <w:smallCaps/>
        </w:rPr>
        <w:t xml:space="preserve"> 617 (2024)</w:t>
      </w:r>
      <w:r>
        <w:t xml:space="preserve"> (with Daniel T. Levin, Lewis J. Baker, Anna M. Wright, &amp; Joshua W. Little)</w:t>
      </w:r>
    </w:p>
    <w:p w14:paraId="00E773DC" w14:textId="77777777" w:rsidR="003F346B" w:rsidRDefault="003F346B" w:rsidP="003F346B">
      <w:pPr>
        <w:pStyle w:val="ListParagraph"/>
        <w:numPr>
          <w:ilvl w:val="0"/>
          <w:numId w:val="16"/>
        </w:numPr>
        <w:tabs>
          <w:tab w:val="left" w:pos="810"/>
        </w:tabs>
      </w:pPr>
      <w:r>
        <w:t xml:space="preserve">Reports a series of studies in which participants’ judgments of the continuity of films they viewed did not vary based on temporal mismatches across cuts (ranging from 400-millisecond overlaps to 400-millisecond ellipses) unless the mismatches were quite large </w:t>
      </w:r>
      <w:r>
        <w:lastRenderedPageBreak/>
        <w:t>(1 second). Argues that participants can discriminate between these finer mismatches but do not do so unless specifically instructed, suggesting the importance of precise temporal matching may be overstated in film and in psychological study of event perception.</w:t>
      </w:r>
    </w:p>
    <w:p w14:paraId="08F94C2D" w14:textId="77777777" w:rsidR="001F02A5" w:rsidRDefault="001F02A5" w:rsidP="000D0DD9">
      <w:pPr>
        <w:tabs>
          <w:tab w:val="left" w:pos="810"/>
        </w:tabs>
      </w:pPr>
    </w:p>
    <w:p w14:paraId="1BED1601" w14:textId="52C72F07" w:rsidR="000D0DD9" w:rsidRPr="00DB2AC7" w:rsidRDefault="000D0DD9" w:rsidP="000D0DD9">
      <w:pPr>
        <w:tabs>
          <w:tab w:val="left" w:pos="810"/>
        </w:tabs>
        <w:rPr>
          <w:smallCaps/>
        </w:rPr>
      </w:pPr>
      <w:hyperlink r:id="rId21" w:history="1">
        <w:r w:rsidRPr="00AE1DE9">
          <w:rPr>
            <w:rStyle w:val="Hyperlink"/>
            <w:i/>
            <w:iCs/>
            <w:u w:val="none"/>
          </w:rPr>
          <w:t>Memcons: How Contemporaneous Note-Taking Shapes Memory for Conversations</w:t>
        </w:r>
      </w:hyperlink>
      <w:r w:rsidR="00DB2AC7" w:rsidRPr="00AE1DE9">
        <w:t>,</w:t>
      </w:r>
      <w:r w:rsidR="00DB2AC7">
        <w:t xml:space="preserve"> 47</w:t>
      </w:r>
      <w:r w:rsidR="006676F9">
        <w:t xml:space="preserve"> </w:t>
      </w:r>
      <w:r w:rsidR="00DB2AC7" w:rsidRPr="006676F9">
        <w:rPr>
          <w:smallCaps/>
        </w:rPr>
        <w:t>Cognitive Sci</w:t>
      </w:r>
      <w:r w:rsidR="006676F9">
        <w:rPr>
          <w:smallCaps/>
        </w:rPr>
        <w:t>ence</w:t>
      </w:r>
      <w:r w:rsidR="00DB2AC7">
        <w:t xml:space="preserve"> e13271 (2023)</w:t>
      </w:r>
      <w:r>
        <w:rPr>
          <w:smallCaps/>
        </w:rPr>
        <w:t xml:space="preserve"> (</w:t>
      </w:r>
      <w:r>
        <w:t>with Sarah Brown-Schmidt, Melissa J. Evans, &amp; Aaron S. Benjamin)</w:t>
      </w:r>
    </w:p>
    <w:p w14:paraId="7171DD9B" w14:textId="49932281" w:rsidR="000D0DD9" w:rsidRDefault="00DB2AC7" w:rsidP="000D0DD9">
      <w:pPr>
        <w:pStyle w:val="ListParagraph"/>
        <w:numPr>
          <w:ilvl w:val="0"/>
          <w:numId w:val="16"/>
        </w:numPr>
        <w:tabs>
          <w:tab w:val="left" w:pos="810"/>
        </w:tabs>
      </w:pPr>
      <w:r>
        <w:t xml:space="preserve">Reports </w:t>
      </w:r>
      <w:r w:rsidR="000D0DD9">
        <w:t>the first experiment evaluating the effect of written memoranda of conversations (“</w:t>
      </w:r>
      <w:proofErr w:type="spellStart"/>
      <w:r w:rsidR="000D0DD9">
        <w:t>memcons</w:t>
      </w:r>
      <w:proofErr w:type="spellEnd"/>
      <w:r w:rsidR="000D0DD9">
        <w:t>”) on memory for unscripted conversations</w:t>
      </w:r>
      <w:r>
        <w:t>, which found that generating</w:t>
      </w:r>
      <w:r w:rsidR="000D0DD9">
        <w:t xml:space="preserve"> a </w:t>
      </w:r>
      <w:proofErr w:type="spellStart"/>
      <w:r w:rsidR="000D0DD9">
        <w:t>memcon</w:t>
      </w:r>
      <w:proofErr w:type="spellEnd"/>
      <w:r w:rsidR="000D0DD9">
        <w:t xml:space="preserve"> increased the amount of information recalled by participants one week later but did not increase the accuracy of th</w:t>
      </w:r>
      <w:r>
        <w:t>eir recall</w:t>
      </w:r>
      <w:r w:rsidR="000D0DD9">
        <w:t xml:space="preserve">.  </w:t>
      </w:r>
      <w:r>
        <w:t>D</w:t>
      </w:r>
      <w:r w:rsidR="000D0DD9">
        <w:t>iscuss</w:t>
      </w:r>
      <w:r>
        <w:t>es</w:t>
      </w:r>
      <w:r w:rsidR="000D0DD9">
        <w:t xml:space="preserve"> legal and political implications.</w:t>
      </w:r>
    </w:p>
    <w:p w14:paraId="384F7AD2" w14:textId="77777777" w:rsidR="000D0DD9" w:rsidRDefault="000D0DD9" w:rsidP="000D0DD9">
      <w:pPr>
        <w:tabs>
          <w:tab w:val="left" w:pos="810"/>
        </w:tabs>
      </w:pPr>
    </w:p>
    <w:p w14:paraId="5C279956" w14:textId="744456EE" w:rsidR="000D0DD9" w:rsidRDefault="00DB2AC7" w:rsidP="000D0DD9">
      <w:pPr>
        <w:tabs>
          <w:tab w:val="left" w:pos="810"/>
        </w:tabs>
      </w:pPr>
      <w:hyperlink r:id="rId22" w:history="1">
        <w:r w:rsidRPr="00AE1DE9">
          <w:rPr>
            <w:rStyle w:val="Hyperlink"/>
            <w:i/>
            <w:iCs/>
            <w:u w:val="none"/>
          </w:rPr>
          <w:t>When Searching Helps You See</w:t>
        </w:r>
        <w:r w:rsidR="000D0DD9" w:rsidRPr="00AE1DE9">
          <w:rPr>
            <w:rStyle w:val="Hyperlink"/>
            <w:i/>
            <w:iCs/>
            <w:u w:val="none"/>
          </w:rPr>
          <w:t xml:space="preserve">: </w:t>
        </w:r>
        <w:r w:rsidRPr="00AE1DE9">
          <w:rPr>
            <w:rStyle w:val="Hyperlink"/>
            <w:i/>
            <w:iCs/>
            <w:u w:val="none"/>
          </w:rPr>
          <w:t>Bridging the Gap Between</w:t>
        </w:r>
        <w:r w:rsidR="000D0DD9" w:rsidRPr="00AE1DE9">
          <w:rPr>
            <w:rStyle w:val="Hyperlink"/>
            <w:i/>
            <w:iCs/>
            <w:u w:val="none"/>
          </w:rPr>
          <w:t xml:space="preserve"> Incidental </w:t>
        </w:r>
        <w:r w:rsidRPr="00AE1DE9">
          <w:rPr>
            <w:rStyle w:val="Hyperlink"/>
            <w:i/>
            <w:iCs/>
            <w:u w:val="none"/>
          </w:rPr>
          <w:t>and Intentional Change Detection</w:t>
        </w:r>
      </w:hyperlink>
      <w:r w:rsidR="000D0DD9" w:rsidRPr="00AE1DE9">
        <w:t>,</w:t>
      </w:r>
      <w:r>
        <w:t xml:space="preserve"> 49</w:t>
      </w:r>
      <w:r w:rsidR="000D0DD9">
        <w:t xml:space="preserve"> </w:t>
      </w:r>
      <w:r w:rsidR="000D0DD9" w:rsidRPr="00492756">
        <w:rPr>
          <w:smallCaps/>
        </w:rPr>
        <w:t>Journal of Experimental Psychology: Human Perception and Performance</w:t>
      </w:r>
      <w:r>
        <w:rPr>
          <w:smallCaps/>
        </w:rPr>
        <w:t xml:space="preserve"> 1158 (2023)</w:t>
      </w:r>
      <w:r w:rsidR="000D0DD9">
        <w:rPr>
          <w:smallCaps/>
        </w:rPr>
        <w:t xml:space="preserve"> (</w:t>
      </w:r>
      <w:r w:rsidR="000D0DD9">
        <w:t>with Madison Lee &amp; Daniel T. Levin)</w:t>
      </w:r>
    </w:p>
    <w:p w14:paraId="76326A48" w14:textId="77777777" w:rsidR="000D0DD9" w:rsidRDefault="000D0DD9" w:rsidP="000D0DD9">
      <w:pPr>
        <w:pStyle w:val="ListParagraph"/>
        <w:numPr>
          <w:ilvl w:val="0"/>
          <w:numId w:val="16"/>
        </w:numPr>
        <w:tabs>
          <w:tab w:val="left" w:pos="810"/>
        </w:tabs>
      </w:pPr>
      <w:r>
        <w:t>Across four experiments, participants exhibited remarkable change blindness to an actor substitution, even when prompted to engage in tasks that required them to process actor identity (e.g., count the number of actors in the movie; memorize the actor’s face for a recognition test).  These findings suggest that the representation and comparison processes necessary to detect large visual changes in attended objects do not occur by default but are elicited by specific functional needs.</w:t>
      </w:r>
    </w:p>
    <w:p w14:paraId="292A9F26" w14:textId="77777777" w:rsidR="00B96922" w:rsidRDefault="00B96922" w:rsidP="00B96922">
      <w:pPr>
        <w:tabs>
          <w:tab w:val="left" w:pos="810"/>
        </w:tabs>
      </w:pPr>
    </w:p>
    <w:p w14:paraId="77F48AEA" w14:textId="5784746B" w:rsidR="007C356D" w:rsidRDefault="007C356D" w:rsidP="00604F6E">
      <w:pPr>
        <w:tabs>
          <w:tab w:val="left" w:pos="810"/>
        </w:tabs>
      </w:pPr>
      <w:hyperlink r:id="rId23" w:history="1">
        <w:r w:rsidRPr="00AE1DE9">
          <w:rPr>
            <w:rStyle w:val="Hyperlink"/>
            <w:i/>
            <w:iCs/>
            <w:u w:val="none"/>
          </w:rPr>
          <w:t>Video Speeding Can Be Efficient and Speeding-Induced Preference Cost Can Be Lessened by Selective Speeding</w:t>
        </w:r>
      </w:hyperlink>
      <w:r w:rsidRPr="00AE1DE9">
        <w:t>,</w:t>
      </w:r>
      <w:r>
        <w:t xml:space="preserve"> </w:t>
      </w:r>
      <w:r w:rsidR="00DB2AC7">
        <w:t>28</w:t>
      </w:r>
      <w:r w:rsidR="002B2512">
        <w:t xml:space="preserve"> </w:t>
      </w:r>
      <w:r w:rsidR="002B2512" w:rsidRPr="002B2512">
        <w:rPr>
          <w:smallCaps/>
        </w:rPr>
        <w:t>J</w:t>
      </w:r>
      <w:r w:rsidR="00EA71F8">
        <w:rPr>
          <w:smallCaps/>
        </w:rPr>
        <w:t>ournal</w:t>
      </w:r>
      <w:r w:rsidR="002B2512" w:rsidRPr="002B2512">
        <w:rPr>
          <w:smallCaps/>
        </w:rPr>
        <w:t xml:space="preserve"> of Experimental Psychol</w:t>
      </w:r>
      <w:r w:rsidR="00EA71F8">
        <w:rPr>
          <w:smallCaps/>
        </w:rPr>
        <w:t>ogy</w:t>
      </w:r>
      <w:r w:rsidR="002B2512" w:rsidRPr="00592E3E">
        <w:rPr>
          <w:smallCaps/>
        </w:rPr>
        <w:t>: Applied</w:t>
      </w:r>
      <w:r w:rsidR="002B2512">
        <w:t xml:space="preserve"> </w:t>
      </w:r>
      <w:r w:rsidR="00AE1DE9">
        <w:t>916</w:t>
      </w:r>
      <w:r w:rsidR="002B2512">
        <w:t xml:space="preserve"> (</w:t>
      </w:r>
      <w:r w:rsidR="00AE1DE9">
        <w:t>2022</w:t>
      </w:r>
      <w:r w:rsidR="002B2512">
        <w:t>) (with Anna M. Wright, Kelly E. Carter, Sarah A. Bibyk, Duane G. Watson, &amp; Daniel T. Levin)</w:t>
      </w:r>
    </w:p>
    <w:p w14:paraId="4F83162D" w14:textId="06D0BF53" w:rsidR="00225130" w:rsidRDefault="000C2C7F" w:rsidP="00225130">
      <w:pPr>
        <w:pStyle w:val="ListParagraph"/>
        <w:numPr>
          <w:ilvl w:val="0"/>
          <w:numId w:val="16"/>
        </w:numPr>
        <w:tabs>
          <w:tab w:val="left" w:pos="810"/>
        </w:tabs>
      </w:pPr>
      <w:r>
        <w:t xml:space="preserve">Three experiments indicate that participants’ learning from screen-captured instructional videos </w:t>
      </w:r>
      <w:r w:rsidR="00AE1DE9">
        <w:t>wa</w:t>
      </w:r>
      <w:r>
        <w:t xml:space="preserve">s minimally affected by global speed increases up to 200%, </w:t>
      </w:r>
      <w:r w:rsidR="00225130">
        <w:t>but</w:t>
      </w:r>
      <w:r>
        <w:t xml:space="preserve"> even </w:t>
      </w:r>
      <w:r w:rsidR="006C7D88">
        <w:t xml:space="preserve">more </w:t>
      </w:r>
      <w:r>
        <w:t xml:space="preserve">modest 150% speed increases substantially increased perceived workload and reduced viewer </w:t>
      </w:r>
      <w:r w:rsidR="00E23BB2">
        <w:t>satisfaction</w:t>
      </w:r>
      <w:r>
        <w:t xml:space="preserve">.  </w:t>
      </w:r>
      <w:r w:rsidR="00AE1DE9">
        <w:t>S</w:t>
      </w:r>
      <w:r w:rsidR="00225130">
        <w:t>electively-speeded videos—videos speeded at points of low information transfer but not points of high information transfer—</w:t>
      </w:r>
      <w:r w:rsidR="006C7D88">
        <w:t>achieved</w:t>
      </w:r>
      <w:r w:rsidR="00225130">
        <w:t xml:space="preserve"> time efficient learning without </w:t>
      </w:r>
      <w:r w:rsidR="00E23BB2">
        <w:t>reducing</w:t>
      </w:r>
      <w:r w:rsidR="00225130">
        <w:t xml:space="preserve"> viewer </w:t>
      </w:r>
      <w:r w:rsidR="00E23BB2">
        <w:t>satisfaction</w:t>
      </w:r>
      <w:r w:rsidR="00225130">
        <w:t>.</w:t>
      </w:r>
    </w:p>
    <w:p w14:paraId="42DA2CB1" w14:textId="46F16103" w:rsidR="007C356D" w:rsidRDefault="007C356D" w:rsidP="00604F6E">
      <w:pPr>
        <w:tabs>
          <w:tab w:val="left" w:pos="810"/>
        </w:tabs>
      </w:pPr>
    </w:p>
    <w:p w14:paraId="3010B867" w14:textId="6300E40A" w:rsidR="00E11D9F" w:rsidRDefault="00E11D9F" w:rsidP="00E11D9F">
      <w:pPr>
        <w:tabs>
          <w:tab w:val="left" w:pos="810"/>
        </w:tabs>
      </w:pPr>
      <w:hyperlink r:id="rId24" w:history="1">
        <w:r w:rsidRPr="00E11D9F">
          <w:rPr>
            <w:rStyle w:val="Hyperlink"/>
            <w:i/>
            <w:iCs/>
            <w:u w:val="none"/>
          </w:rPr>
          <w:t>The Prevalence and Utility of Formal Features in Screen-Capture Tutorial Videos</w:t>
        </w:r>
      </w:hyperlink>
      <w:r w:rsidRPr="00E11D9F">
        <w:t>,</w:t>
      </w:r>
      <w:r>
        <w:t xml:space="preserve"> 68 </w:t>
      </w:r>
      <w:r w:rsidRPr="00E11D9F">
        <w:rPr>
          <w:smallCaps/>
        </w:rPr>
        <w:t>Technical Communication</w:t>
      </w:r>
      <w:r>
        <w:t xml:space="preserve"> 56 (2021) (with Joshua Little &amp; Daniel T. Levin)</w:t>
      </w:r>
    </w:p>
    <w:p w14:paraId="6E9727D7" w14:textId="442AEE81" w:rsidR="00E11D9F" w:rsidRDefault="00E11D9F" w:rsidP="00E11D9F">
      <w:pPr>
        <w:pStyle w:val="ListParagraph"/>
        <w:numPr>
          <w:ilvl w:val="0"/>
          <w:numId w:val="16"/>
        </w:numPr>
        <w:tabs>
          <w:tab w:val="left" w:pos="810"/>
        </w:tabs>
      </w:pPr>
      <w:r>
        <w:t>Provides a catalog of formal features that creators of screen-capture tutorial videos use to convey information to viewers and demonstrates that these features are predictive of video viewership.</w:t>
      </w:r>
    </w:p>
    <w:p w14:paraId="6B7BFFE2" w14:textId="77777777" w:rsidR="00F77EDB" w:rsidRPr="001132F9" w:rsidRDefault="00F77EDB" w:rsidP="00D2286A">
      <w:pPr>
        <w:pStyle w:val="ListParagraph"/>
        <w:tabs>
          <w:tab w:val="left" w:pos="810"/>
        </w:tabs>
      </w:pPr>
    </w:p>
    <w:p w14:paraId="17E09E92" w14:textId="2385CAE7" w:rsidR="00604F6E" w:rsidRDefault="00604F6E" w:rsidP="00604F6E">
      <w:hyperlink r:id="rId25" w:history="1">
        <w:r w:rsidRPr="00D54DEA">
          <w:rPr>
            <w:rStyle w:val="Hyperlink"/>
            <w:i/>
            <w:iCs/>
            <w:u w:val="none"/>
          </w:rPr>
          <w:t>Predicting Variation in Endowment Effect Magnitudes</w:t>
        </w:r>
      </w:hyperlink>
      <w:r w:rsidRPr="007D71FE">
        <w:t xml:space="preserve">, </w:t>
      </w:r>
      <w:r>
        <w:t xml:space="preserve">41 </w:t>
      </w:r>
      <w:r w:rsidRPr="00850FB1">
        <w:rPr>
          <w:smallCaps/>
        </w:rPr>
        <w:t>Evolution &amp; Hum</w:t>
      </w:r>
      <w:r w:rsidR="00EA71F8">
        <w:rPr>
          <w:smallCaps/>
        </w:rPr>
        <w:t>an</w:t>
      </w:r>
      <w:r w:rsidRPr="00850FB1">
        <w:rPr>
          <w:smallCaps/>
        </w:rPr>
        <w:t xml:space="preserve"> Behav</w:t>
      </w:r>
      <w:r w:rsidR="00EA71F8">
        <w:rPr>
          <w:smallCaps/>
        </w:rPr>
        <w:t>ior</w:t>
      </w:r>
      <w:r>
        <w:t xml:space="preserve"> 253 (2020)</w:t>
      </w:r>
      <w:r>
        <w:rPr>
          <w:i/>
        </w:rPr>
        <w:t xml:space="preserve"> </w:t>
      </w:r>
      <w:r>
        <w:t>(with Owen D. Jones, Sarah F. Brosnan, &amp; Daniel T. Levin) (first author)</w:t>
      </w:r>
    </w:p>
    <w:p w14:paraId="1F3017AA" w14:textId="278F7295" w:rsidR="00604F6E" w:rsidRDefault="00604F6E" w:rsidP="00604F6E">
      <w:pPr>
        <w:pStyle w:val="ListParagraph"/>
        <w:numPr>
          <w:ilvl w:val="0"/>
          <w:numId w:val="16"/>
        </w:numPr>
      </w:pPr>
      <w:r>
        <w:t>Shows that the endowment effect—the tendency of</w:t>
      </w:r>
      <w:r w:rsidRPr="008F1009">
        <w:t xml:space="preserve"> people </w:t>
      </w:r>
      <w:r>
        <w:t>to</w:t>
      </w:r>
      <w:r w:rsidRPr="008F1009">
        <w:t xml:space="preserve"> value an item they have just acquired at a </w:t>
      </w:r>
      <w:r>
        <w:t xml:space="preserve">much </w:t>
      </w:r>
      <w:r w:rsidRPr="008F1009">
        <w:t>higher price than the maximum they would have paid to acquire it</w:t>
      </w:r>
      <w:r>
        <w:t>—tends to be larger for items that are more evolutionarily relevant, suggesting that it (and similar documented ‘irrationalities’ studie</w:t>
      </w:r>
      <w:r w:rsidR="00E23BB2">
        <w:t>d</w:t>
      </w:r>
      <w:r>
        <w:t xml:space="preserve"> by psychologists, economists, and legal scholars) may be best understood from an evolutionary perspective.</w:t>
      </w:r>
    </w:p>
    <w:p w14:paraId="08FF5381" w14:textId="77777777" w:rsidR="0040193D" w:rsidRDefault="0040193D" w:rsidP="0040193D"/>
    <w:p w14:paraId="0A29F129" w14:textId="64229936" w:rsidR="0040193D" w:rsidRDefault="0040193D" w:rsidP="0040193D">
      <w:hyperlink r:id="rId26" w:history="1">
        <w:r w:rsidRPr="0040193D">
          <w:rPr>
            <w:rStyle w:val="Hyperlink"/>
            <w:i/>
            <w:iCs/>
            <w:u w:val="none"/>
          </w:rPr>
          <w:t>The Interrelationship Between Concepts About Agency and Students’ Use of Teachable-Agent Learning Technology</w:t>
        </w:r>
      </w:hyperlink>
      <w:r w:rsidRPr="0040193D">
        <w:t xml:space="preserve">, </w:t>
      </w:r>
      <w:r>
        <w:t xml:space="preserve">4 </w:t>
      </w:r>
      <w:r w:rsidRPr="0040193D">
        <w:rPr>
          <w:smallCaps/>
        </w:rPr>
        <w:t>Cognitive Research: Principles and Implications</w:t>
      </w:r>
      <w:r>
        <w:t xml:space="preserve"> 1</w:t>
      </w:r>
      <w:r w:rsidR="003B31EA">
        <w:t>4</w:t>
      </w:r>
      <w:r>
        <w:t xml:space="preserve"> (2019) (with Alicia M. Hymel, Daniel T. Levin, Gautam Biswas, Natalie Paul, &amp; John Kinnebrew)</w:t>
      </w:r>
    </w:p>
    <w:p w14:paraId="00E1C64E" w14:textId="6381DE1F" w:rsidR="0040193D" w:rsidRDefault="00E11D9F" w:rsidP="0040193D">
      <w:pPr>
        <w:pStyle w:val="ListParagraph"/>
        <w:numPr>
          <w:ilvl w:val="0"/>
          <w:numId w:val="16"/>
        </w:numPr>
      </w:pPr>
      <w:r>
        <w:t>Reports three experiments from middle school classrooms finding a reciprocal relationship between students’ agency concepts and their success learning from teachable-agent-based educational software.</w:t>
      </w:r>
    </w:p>
    <w:p w14:paraId="13089952" w14:textId="77777777" w:rsidR="00604F6E" w:rsidRDefault="00604F6E" w:rsidP="00604F6E">
      <w:pPr>
        <w:rPr>
          <w:b/>
        </w:rPr>
      </w:pPr>
    </w:p>
    <w:p w14:paraId="4BEE99FB" w14:textId="383568F2" w:rsidR="00604F6E" w:rsidRDefault="00604F6E" w:rsidP="00604F6E">
      <w:hyperlink r:id="rId27" w:history="1">
        <w:r w:rsidRPr="00D54DEA">
          <w:rPr>
            <w:rStyle w:val="Hyperlink"/>
            <w:i/>
            <w:iCs/>
            <w:u w:val="none"/>
          </w:rPr>
          <w:t>Justice is (Change) Blind: Applying Research on Visual Metacognition in Legal Settings</w:t>
        </w:r>
      </w:hyperlink>
      <w:r w:rsidRPr="007D71FE">
        <w:t xml:space="preserve">, </w:t>
      </w:r>
      <w:r>
        <w:t xml:space="preserve">23 </w:t>
      </w:r>
      <w:r w:rsidRPr="00B6760A">
        <w:rPr>
          <w:smallCaps/>
        </w:rPr>
        <w:t>Psycho</w:t>
      </w:r>
      <w:r>
        <w:rPr>
          <w:smallCaps/>
        </w:rPr>
        <w:t>l</w:t>
      </w:r>
      <w:r w:rsidR="00EA71F8">
        <w:rPr>
          <w:smallCaps/>
        </w:rPr>
        <w:t>ogy, Public Policy, &amp; Law</w:t>
      </w:r>
      <w:r>
        <w:t xml:space="preserve"> 259 (2017) (with Daniel T. Levin &amp; Evan Porter) (first author)</w:t>
      </w:r>
    </w:p>
    <w:p w14:paraId="1B961F0F" w14:textId="596BF394" w:rsidR="00604F6E" w:rsidRDefault="006C7D88" w:rsidP="00604F6E">
      <w:pPr>
        <w:pStyle w:val="ListParagraph"/>
        <w:numPr>
          <w:ilvl w:val="0"/>
          <w:numId w:val="16"/>
        </w:numPr>
      </w:pPr>
      <w:r>
        <w:t>Presents a series of experiments demonstrating</w:t>
      </w:r>
      <w:r w:rsidR="00604F6E">
        <w:t xml:space="preserve"> that people routinely overestimate others’ visual abilities, that this overestimation persists when people judge what others </w:t>
      </w:r>
      <w:r w:rsidR="00604F6E" w:rsidRPr="0081032C">
        <w:rPr>
          <w:i/>
        </w:rPr>
        <w:t>should</w:t>
      </w:r>
      <w:r w:rsidR="00604F6E">
        <w:t xml:space="preserve"> see, and that this </w:t>
      </w:r>
      <w:r>
        <w:t>may</w:t>
      </w:r>
      <w:r w:rsidR="00604F6E">
        <w:t xml:space="preserve"> lead decision makers to find tort defendants negligent for failing to see things that most people would not see.    </w:t>
      </w:r>
    </w:p>
    <w:p w14:paraId="7F754B67" w14:textId="08288367" w:rsidR="00AF3068" w:rsidRDefault="00AF3068" w:rsidP="00604F6E">
      <w:pPr>
        <w:pStyle w:val="ListParagraph"/>
        <w:numPr>
          <w:ilvl w:val="0"/>
          <w:numId w:val="16"/>
        </w:numPr>
      </w:pPr>
      <w:r>
        <w:t xml:space="preserve">Cited in </w:t>
      </w:r>
      <w:r>
        <w:rPr>
          <w:i/>
          <w:iCs/>
        </w:rPr>
        <w:t xml:space="preserve">Crawford v. </w:t>
      </w:r>
      <w:proofErr w:type="spellStart"/>
      <w:r>
        <w:rPr>
          <w:i/>
          <w:iCs/>
        </w:rPr>
        <w:t>Itw</w:t>
      </w:r>
      <w:proofErr w:type="spellEnd"/>
      <w:r>
        <w:rPr>
          <w:i/>
          <w:iCs/>
        </w:rPr>
        <w:t xml:space="preserve"> Food Equip. Group</w:t>
      </w:r>
      <w:r>
        <w:t xml:space="preserve">, </w:t>
      </w:r>
      <w:r w:rsidR="00CC610E">
        <w:t xml:space="preserve">No. 3:16-cv-1421-J-25PDB, </w:t>
      </w:r>
      <w:r w:rsidR="008E1B8B">
        <w:t xml:space="preserve">2019 U.S. Dist. LEXIS 234170 </w:t>
      </w:r>
      <w:r>
        <w:t>(M.D. Fla. Feb. 13, 2019).</w:t>
      </w:r>
    </w:p>
    <w:p w14:paraId="69323300" w14:textId="77777777" w:rsidR="00604F6E" w:rsidRDefault="00604F6E" w:rsidP="00604F6E">
      <w:pPr>
        <w:rPr>
          <w:i/>
        </w:rPr>
      </w:pPr>
    </w:p>
    <w:p w14:paraId="45DB7BD0" w14:textId="3A1A011D" w:rsidR="00604F6E" w:rsidRDefault="00604F6E" w:rsidP="00604F6E">
      <w:hyperlink r:id="rId28" w:history="1">
        <w:r w:rsidRPr="00D54DEA">
          <w:rPr>
            <w:rStyle w:val="Hyperlink"/>
            <w:i/>
            <w:iCs/>
            <w:u w:val="none"/>
          </w:rPr>
          <w:t xml:space="preserve">If Asimo Thinks, Does Roomba </w:t>
        </w:r>
        <w:proofErr w:type="gramStart"/>
        <w:r w:rsidRPr="00D54DEA">
          <w:rPr>
            <w:rStyle w:val="Hyperlink"/>
            <w:i/>
            <w:iCs/>
            <w:u w:val="none"/>
          </w:rPr>
          <w:t>Feel?:</w:t>
        </w:r>
        <w:proofErr w:type="gramEnd"/>
        <w:r w:rsidRPr="00D54DEA">
          <w:rPr>
            <w:rStyle w:val="Hyperlink"/>
            <w:i/>
            <w:iCs/>
            <w:u w:val="none"/>
          </w:rPr>
          <w:t xml:space="preserve"> The Legal Implications of Attributing Agency to Technology</w:t>
        </w:r>
      </w:hyperlink>
      <w:r w:rsidRPr="007D71FE">
        <w:t xml:space="preserve">, </w:t>
      </w:r>
      <w:r>
        <w:t xml:space="preserve">5 </w:t>
      </w:r>
      <w:r>
        <w:rPr>
          <w:smallCaps/>
        </w:rPr>
        <w:t xml:space="preserve">J. Human-Robot Interaction </w:t>
      </w:r>
      <w:r>
        <w:t>3 (2016) (with Daniel T. Levin) (Symposium on Robotics Law and Policy, Ryan Calo &amp; Kate Darling eds.) (first author)</w:t>
      </w:r>
    </w:p>
    <w:p w14:paraId="1029BB39" w14:textId="77777777" w:rsidR="00604F6E" w:rsidRPr="004919B4" w:rsidRDefault="00604F6E" w:rsidP="00604F6E">
      <w:pPr>
        <w:pStyle w:val="ListParagraph"/>
        <w:numPr>
          <w:ilvl w:val="0"/>
          <w:numId w:val="16"/>
        </w:numPr>
      </w:pPr>
      <w:r>
        <w:t xml:space="preserve">Explores how the well-documented human tendency to conceive of technology in anthropomorphic terms might shape law and policy, focusing on tort, copyright, Fourth Amendment, and statutory interpretation contexts.    </w:t>
      </w:r>
    </w:p>
    <w:p w14:paraId="649088E5" w14:textId="77777777" w:rsidR="00604F6E" w:rsidRDefault="00604F6E" w:rsidP="00604F6E">
      <w:pPr>
        <w:tabs>
          <w:tab w:val="left" w:pos="810"/>
        </w:tabs>
      </w:pPr>
    </w:p>
    <w:p w14:paraId="76E1F1BF" w14:textId="67C37096" w:rsidR="00604F6E" w:rsidRDefault="00604F6E" w:rsidP="000C2C7F">
      <w:pPr>
        <w:tabs>
          <w:tab w:val="left" w:pos="810"/>
        </w:tabs>
        <w:jc w:val="center"/>
        <w:rPr>
          <w:b/>
          <w:bCs/>
        </w:rPr>
      </w:pPr>
      <w:r>
        <w:rPr>
          <w:b/>
          <w:bCs/>
        </w:rPr>
        <w:t>Book Chapters</w:t>
      </w:r>
    </w:p>
    <w:p w14:paraId="4FC319FC" w14:textId="0AC8BD2E" w:rsidR="00604F6E" w:rsidRDefault="00604F6E" w:rsidP="00604F6E">
      <w:pPr>
        <w:tabs>
          <w:tab w:val="left" w:pos="810"/>
        </w:tabs>
        <w:rPr>
          <w:b/>
          <w:bCs/>
        </w:rPr>
      </w:pPr>
    </w:p>
    <w:p w14:paraId="079443DD" w14:textId="539F5002" w:rsidR="00604F6E" w:rsidRDefault="00604F6E" w:rsidP="00604F6E">
      <w:hyperlink r:id="rId29" w:history="1">
        <w:r w:rsidRPr="00AE1DE9">
          <w:rPr>
            <w:rStyle w:val="Hyperlink"/>
            <w:bCs/>
            <w:i/>
            <w:iCs/>
            <w:u w:val="none"/>
          </w:rPr>
          <w:t>Reasonableness from an Experimental Jurisprudence Perspective</w:t>
        </w:r>
      </w:hyperlink>
      <w:r w:rsidRPr="00AE1DE9">
        <w:rPr>
          <w:bCs/>
        </w:rPr>
        <w:t>,</w:t>
      </w:r>
      <w:r>
        <w:rPr>
          <w:bCs/>
        </w:rPr>
        <w:t xml:space="preserve"> </w:t>
      </w:r>
      <w:r>
        <w:rPr>
          <w:bCs/>
          <w:i/>
          <w:iCs/>
        </w:rPr>
        <w:t xml:space="preserve">in </w:t>
      </w:r>
      <w:r w:rsidRPr="00F4401B">
        <w:rPr>
          <w:bCs/>
          <w:smallCaps/>
        </w:rPr>
        <w:t>Cambridge Handbook of Experimental Jurisprudence</w:t>
      </w:r>
      <w:r>
        <w:rPr>
          <w:bCs/>
          <w:smallCaps/>
        </w:rPr>
        <w:t xml:space="preserve"> </w:t>
      </w:r>
      <w:r>
        <w:t>(Kevin Tobia ed., Cambridge University Press 202</w:t>
      </w:r>
      <w:r w:rsidR="00F77EDB">
        <w:t>5</w:t>
      </w:r>
      <w:r>
        <w:t>)</w:t>
      </w:r>
    </w:p>
    <w:p w14:paraId="5DFC2CBB" w14:textId="77777777" w:rsidR="00604F6E" w:rsidRDefault="00604F6E" w:rsidP="00604F6E">
      <w:pPr>
        <w:pStyle w:val="ListParagraph"/>
        <w:numPr>
          <w:ilvl w:val="0"/>
          <w:numId w:val="23"/>
        </w:numPr>
        <w:rPr>
          <w:bCs/>
        </w:rPr>
      </w:pPr>
      <w:r w:rsidRPr="00604F6E">
        <w:rPr>
          <w:bCs/>
        </w:rPr>
        <w:t>Reviews prominent theories of “reasonableness” in legal scholarship</w:t>
      </w:r>
      <w:r>
        <w:rPr>
          <w:bCs/>
        </w:rPr>
        <w:t xml:space="preserve"> and</w:t>
      </w:r>
      <w:r w:rsidRPr="00604F6E">
        <w:rPr>
          <w:bCs/>
        </w:rPr>
        <w:t xml:space="preserve"> identifies empirically testable implications of each</w:t>
      </w:r>
      <w:r>
        <w:rPr>
          <w:bCs/>
        </w:rPr>
        <w:t>.  Discusses recent research in the field of experimental jurisprudence that has tested some of these theories and identifies avenues for future research.</w:t>
      </w:r>
    </w:p>
    <w:p w14:paraId="25A1820D" w14:textId="64AE938C" w:rsidR="00B12886" w:rsidRPr="00604F6E" w:rsidRDefault="00B12886" w:rsidP="00604F6E">
      <w:pPr>
        <w:pStyle w:val="ListParagraph"/>
        <w:numPr>
          <w:ilvl w:val="0"/>
          <w:numId w:val="23"/>
        </w:numPr>
        <w:rPr>
          <w:bCs/>
        </w:rPr>
      </w:pPr>
      <w:r>
        <w:rPr>
          <w:bCs/>
        </w:rPr>
        <w:t xml:space="preserve">“Highly Recommended” </w:t>
      </w:r>
      <w:r w:rsidR="00521298">
        <w:rPr>
          <w:bCs/>
        </w:rPr>
        <w:t xml:space="preserve">Download </w:t>
      </w:r>
      <w:r>
        <w:rPr>
          <w:bCs/>
        </w:rPr>
        <w:t>on Legal Theory Blog.</w:t>
      </w:r>
    </w:p>
    <w:p w14:paraId="2E4CEBA9" w14:textId="77777777" w:rsidR="00604F6E" w:rsidRDefault="00604F6E" w:rsidP="00604F6E">
      <w:pPr>
        <w:rPr>
          <w:i/>
        </w:rPr>
      </w:pPr>
    </w:p>
    <w:p w14:paraId="57F9712F" w14:textId="77777777" w:rsidR="00604F6E" w:rsidRPr="00B91DD9" w:rsidRDefault="00604F6E" w:rsidP="00604F6E">
      <w:hyperlink r:id="rId30" w:history="1">
        <w:r w:rsidRPr="00B7209E">
          <w:rPr>
            <w:rStyle w:val="Hyperlink"/>
            <w:i/>
            <w:u w:val="none"/>
          </w:rPr>
          <w:t>The Power of Sequence: A Quantum Perspective on Legal Decision Making</w:t>
        </w:r>
      </w:hyperlink>
      <w:r w:rsidRPr="00CB0466">
        <w:t xml:space="preserve">, </w:t>
      </w:r>
      <w:r w:rsidRPr="007F35C2">
        <w:rPr>
          <w:i/>
        </w:rPr>
        <w:t>in</w:t>
      </w:r>
      <w:r>
        <w:rPr>
          <w:i/>
        </w:rPr>
        <w:t xml:space="preserve"> </w:t>
      </w:r>
      <w:r w:rsidRPr="00A85FFD">
        <w:rPr>
          <w:smallCaps/>
        </w:rPr>
        <w:t xml:space="preserve">Theories of Choice: </w:t>
      </w:r>
      <w:r>
        <w:rPr>
          <w:smallCaps/>
        </w:rPr>
        <w:t>T</w:t>
      </w:r>
      <w:r w:rsidRPr="00A85FFD">
        <w:rPr>
          <w:smallCaps/>
        </w:rPr>
        <w:t>he Social Science and the Law of Decision Making</w:t>
      </w:r>
      <w:r>
        <w:t xml:space="preserve"> (Stefan Grundmann &amp; Philipp Hacker eds., Oxford University Press 2021) (with Jennifer S. Trueblood) (first author)</w:t>
      </w:r>
    </w:p>
    <w:p w14:paraId="4F7EFE9E" w14:textId="7EF28C13" w:rsidR="00E11D9F" w:rsidRPr="00E11D9F" w:rsidRDefault="00604F6E" w:rsidP="00E11D9F">
      <w:pPr>
        <w:pStyle w:val="ListParagraph"/>
        <w:numPr>
          <w:ilvl w:val="0"/>
          <w:numId w:val="16"/>
        </w:numPr>
        <w:rPr>
          <w:b/>
        </w:rPr>
      </w:pPr>
      <w:r>
        <w:t>Provides an overview of the psychological theory of quantum decision making for a legal audience, contrasts it with other theories of choice that have influenced law, and identifies legal contexts (</w:t>
      </w:r>
      <w:r w:rsidRPr="00700141">
        <w:rPr>
          <w:i/>
        </w:rPr>
        <w:t>e.g.</w:t>
      </w:r>
      <w:r>
        <w:t>, restrictions on character evidence; harmless error doctrine) in which a quantum perspective may be useful for law.</w:t>
      </w:r>
    </w:p>
    <w:p w14:paraId="2DEAB4E2" w14:textId="77777777" w:rsidR="00E11D9F" w:rsidRDefault="00E11D9F" w:rsidP="00E11D9F">
      <w:pPr>
        <w:rPr>
          <w:b/>
        </w:rPr>
      </w:pPr>
    </w:p>
    <w:p w14:paraId="20BA9ADD" w14:textId="77777777" w:rsidR="00BA1316" w:rsidRDefault="00BA1316" w:rsidP="00F77EDB">
      <w:pPr>
        <w:jc w:val="center"/>
        <w:rPr>
          <w:b/>
          <w:sz w:val="28"/>
          <w:szCs w:val="28"/>
          <w:u w:val="single"/>
        </w:rPr>
      </w:pPr>
    </w:p>
    <w:p w14:paraId="24E457AF" w14:textId="77777777" w:rsidR="00BA1316" w:rsidRDefault="00BA1316" w:rsidP="00F77EDB">
      <w:pPr>
        <w:jc w:val="center"/>
        <w:rPr>
          <w:b/>
          <w:sz w:val="28"/>
          <w:szCs w:val="28"/>
          <w:u w:val="single"/>
        </w:rPr>
      </w:pPr>
    </w:p>
    <w:p w14:paraId="38A135D2" w14:textId="77777777" w:rsidR="00BA1316" w:rsidRDefault="00BA1316" w:rsidP="00F77EDB">
      <w:pPr>
        <w:jc w:val="center"/>
        <w:rPr>
          <w:b/>
          <w:sz w:val="28"/>
          <w:szCs w:val="28"/>
          <w:u w:val="single"/>
        </w:rPr>
      </w:pPr>
    </w:p>
    <w:p w14:paraId="6D3F23C6" w14:textId="1C0027C3" w:rsidR="00F77EDB" w:rsidRDefault="00F77EDB" w:rsidP="00F77EDB">
      <w:pPr>
        <w:jc w:val="center"/>
        <w:rPr>
          <w:b/>
          <w:sz w:val="28"/>
          <w:szCs w:val="28"/>
          <w:u w:val="single"/>
        </w:rPr>
      </w:pPr>
      <w:r>
        <w:rPr>
          <w:b/>
          <w:sz w:val="28"/>
          <w:szCs w:val="28"/>
          <w:u w:val="single"/>
        </w:rPr>
        <w:lastRenderedPageBreak/>
        <w:t>SELECTED AWARDS AND HONORS</w:t>
      </w:r>
    </w:p>
    <w:p w14:paraId="4E68C91B" w14:textId="77777777" w:rsidR="00F77EDB" w:rsidRDefault="00F77EDB" w:rsidP="00F77EDB">
      <w:pPr>
        <w:jc w:val="center"/>
        <w:rPr>
          <w:b/>
          <w:sz w:val="28"/>
          <w:szCs w:val="28"/>
          <w:u w:val="single"/>
        </w:rPr>
      </w:pPr>
    </w:p>
    <w:p w14:paraId="5955CCEB" w14:textId="22A8740A" w:rsidR="00F77EDB" w:rsidRDefault="007A0EBC" w:rsidP="00F77EDB">
      <w:pPr>
        <w:rPr>
          <w:bCs/>
        </w:rPr>
      </w:pPr>
      <w:r w:rsidRPr="007A0EBC">
        <w:rPr>
          <w:bCs/>
        </w:rPr>
        <w:t>Winner, 2025 AALS Scholarly Papers Competition</w:t>
      </w:r>
    </w:p>
    <w:p w14:paraId="3DC0096C" w14:textId="086E04BC" w:rsidR="007A0EBC" w:rsidRDefault="007A0EBC" w:rsidP="007A0EBC">
      <w:pPr>
        <w:pStyle w:val="ListParagraph"/>
        <w:numPr>
          <w:ilvl w:val="0"/>
          <w:numId w:val="25"/>
        </w:numPr>
      </w:pPr>
      <w:r>
        <w:t xml:space="preserve">National paper competition for law teachers with five or fewer years </w:t>
      </w:r>
      <w:r w:rsidR="00477D3B">
        <w:t xml:space="preserve">of </w:t>
      </w:r>
      <w:r>
        <w:t>experience</w:t>
      </w:r>
      <w:r w:rsidR="00477D3B">
        <w:t>,</w:t>
      </w:r>
      <w:r>
        <w:t xml:space="preserve"> writing </w:t>
      </w:r>
      <w:r w:rsidR="00477D3B">
        <w:t>on any legal topic</w:t>
      </w:r>
      <w:r>
        <w:t xml:space="preserve">: </w:t>
      </w:r>
      <w:hyperlink r:id="rId31" w:history="1">
        <w:r w:rsidRPr="009D6236">
          <w:rPr>
            <w:rStyle w:val="Hyperlink"/>
          </w:rPr>
          <w:t>https://www.aals.org/new-faculty/scholarly-papers/</w:t>
        </w:r>
      </w:hyperlink>
    </w:p>
    <w:p w14:paraId="4E1CB106" w14:textId="77777777" w:rsidR="007A0EBC" w:rsidRDefault="007A0EBC" w:rsidP="00F77EDB">
      <w:pPr>
        <w:rPr>
          <w:bCs/>
        </w:rPr>
      </w:pPr>
    </w:p>
    <w:p w14:paraId="23B448C4" w14:textId="1102D72D" w:rsidR="000D112B" w:rsidRDefault="000D112B" w:rsidP="000D112B">
      <w:pPr>
        <w:rPr>
          <w:bCs/>
        </w:rPr>
      </w:pPr>
      <w:r>
        <w:rPr>
          <w:bCs/>
        </w:rPr>
        <w:t>Outstanding Faculty Award for Tenure-Track Scholarship (Baylor University, All Schools)</w:t>
      </w:r>
    </w:p>
    <w:p w14:paraId="2D7840C6" w14:textId="7BD65BF0" w:rsidR="00B96922" w:rsidRDefault="00B96922" w:rsidP="00B96922">
      <w:pPr>
        <w:pStyle w:val="ListParagraph"/>
        <w:numPr>
          <w:ilvl w:val="0"/>
          <w:numId w:val="25"/>
        </w:numPr>
        <w:rPr>
          <w:bCs/>
        </w:rPr>
      </w:pPr>
      <w:r>
        <w:rPr>
          <w:bCs/>
        </w:rPr>
        <w:t xml:space="preserve">Baylor’s Outstanding Faculty awards honor </w:t>
      </w:r>
      <w:r w:rsidRPr="00B96922">
        <w:rPr>
          <w:bCs/>
        </w:rPr>
        <w:t xml:space="preserve">the best all-around professors for their teaching, scholarship and contributions to the academic community. </w:t>
      </w:r>
      <w:r w:rsidR="00BA1316">
        <w:rPr>
          <w:bCs/>
        </w:rPr>
        <w:t xml:space="preserve">Only one tenure-track scholarship award is given each year across the University.  Winners are chosen through a faculty nomination and selection </w:t>
      </w:r>
      <w:r w:rsidR="004739A2">
        <w:rPr>
          <w:bCs/>
        </w:rPr>
        <w:t xml:space="preserve">process: </w:t>
      </w:r>
      <w:hyperlink r:id="rId32" w:history="1">
        <w:r w:rsidR="004739A2" w:rsidRPr="0019463D">
          <w:rPr>
            <w:rStyle w:val="Hyperlink"/>
            <w:bCs/>
          </w:rPr>
          <w:t>https://news.web.baylor.edu/news/story/2025/baylor-university-honors-outstanding-faculty-2024-2025</w:t>
        </w:r>
      </w:hyperlink>
    </w:p>
    <w:p w14:paraId="6B479E5F" w14:textId="77777777" w:rsidR="00BA1316" w:rsidRPr="00B96922" w:rsidRDefault="00BA1316" w:rsidP="00BA1316">
      <w:pPr>
        <w:pStyle w:val="ListParagraph"/>
        <w:rPr>
          <w:bCs/>
        </w:rPr>
      </w:pPr>
    </w:p>
    <w:p w14:paraId="7126E428" w14:textId="2729D7BA" w:rsidR="00FF57A0" w:rsidRDefault="00FF57A0" w:rsidP="00FF57A0">
      <w:pPr>
        <w:rPr>
          <w:bCs/>
        </w:rPr>
      </w:pPr>
      <w:bookmarkStart w:id="0" w:name="_Hlk191545076"/>
      <w:r>
        <w:rPr>
          <w:bCs/>
        </w:rPr>
        <w:t>Commencement Speaker, Baylor Law School Commencement Ceremony, Summer 2024</w:t>
      </w:r>
    </w:p>
    <w:p w14:paraId="7ECCF6B5" w14:textId="3D325453" w:rsidR="00737760" w:rsidRPr="005D1547" w:rsidRDefault="00FF57A0" w:rsidP="00737760">
      <w:pPr>
        <w:pStyle w:val="ListParagraph"/>
        <w:numPr>
          <w:ilvl w:val="0"/>
          <w:numId w:val="25"/>
        </w:numPr>
        <w:rPr>
          <w:bCs/>
        </w:rPr>
      </w:pPr>
      <w:r w:rsidRPr="004739A2">
        <w:rPr>
          <w:bCs/>
        </w:rPr>
        <w:t xml:space="preserve">Selected by Baylor Law’s graduating class to </w:t>
      </w:r>
      <w:r w:rsidR="00D3705B">
        <w:rPr>
          <w:bCs/>
        </w:rPr>
        <w:t xml:space="preserve">deliver </w:t>
      </w:r>
      <w:r w:rsidRPr="004739A2">
        <w:rPr>
          <w:bCs/>
        </w:rPr>
        <w:t>commencement address</w:t>
      </w:r>
      <w:r w:rsidR="004739A2" w:rsidRPr="004739A2">
        <w:rPr>
          <w:bCs/>
        </w:rPr>
        <w:t>:</w:t>
      </w:r>
      <w:r w:rsidR="004739A2">
        <w:rPr>
          <w:bCs/>
        </w:rPr>
        <w:t xml:space="preserve"> </w:t>
      </w:r>
      <w:hyperlink r:id="rId33" w:history="1">
        <w:r w:rsidR="004739A2" w:rsidRPr="0019463D">
          <w:rPr>
            <w:rStyle w:val="Hyperlink"/>
            <w:bCs/>
          </w:rPr>
          <w:t>https://www.youtube.com/watch?v=QeAnIfKoUpE</w:t>
        </w:r>
      </w:hyperlink>
    </w:p>
    <w:p w14:paraId="37012241" w14:textId="68B6444D" w:rsidR="005D1547" w:rsidRDefault="005D1547" w:rsidP="005D1547">
      <w:pPr>
        <w:rPr>
          <w:bCs/>
        </w:rPr>
      </w:pPr>
    </w:p>
    <w:p w14:paraId="171D2050" w14:textId="3D2E4BFF" w:rsidR="005D1547" w:rsidRDefault="005D1547" w:rsidP="005D1547">
      <w:pPr>
        <w:rPr>
          <w:bCs/>
        </w:rPr>
      </w:pPr>
      <w:proofErr w:type="spellStart"/>
      <w:r>
        <w:rPr>
          <w:bCs/>
        </w:rPr>
        <w:t>Hooder</w:t>
      </w:r>
      <w:proofErr w:type="spellEnd"/>
      <w:r>
        <w:rPr>
          <w:bCs/>
        </w:rPr>
        <w:t>, Baylor Law Commencement Ceremony, Winter 2026</w:t>
      </w:r>
    </w:p>
    <w:p w14:paraId="396573CA" w14:textId="1501EFED" w:rsidR="005D1547" w:rsidRPr="005D1547" w:rsidRDefault="005D1547" w:rsidP="005D1547">
      <w:pPr>
        <w:pStyle w:val="ListParagraph"/>
        <w:numPr>
          <w:ilvl w:val="0"/>
          <w:numId w:val="25"/>
        </w:numPr>
        <w:rPr>
          <w:bCs/>
        </w:rPr>
      </w:pPr>
      <w:r>
        <w:rPr>
          <w:bCs/>
        </w:rPr>
        <w:t xml:space="preserve">Selected by Baylor Law’s graduating class to </w:t>
      </w:r>
      <w:proofErr w:type="gramStart"/>
      <w:r>
        <w:rPr>
          <w:bCs/>
        </w:rPr>
        <w:t>hood</w:t>
      </w:r>
      <w:proofErr w:type="gramEnd"/>
      <w:r>
        <w:rPr>
          <w:bCs/>
        </w:rPr>
        <w:t xml:space="preserve"> the graduates during the commencement ceremony.</w:t>
      </w:r>
    </w:p>
    <w:bookmarkEnd w:id="0"/>
    <w:p w14:paraId="45052345" w14:textId="77777777" w:rsidR="00FF57A0" w:rsidRDefault="00FF57A0" w:rsidP="00F77EDB">
      <w:pPr>
        <w:rPr>
          <w:bCs/>
        </w:rPr>
      </w:pPr>
    </w:p>
    <w:p w14:paraId="7FD9B486" w14:textId="15CF39F5" w:rsidR="00FA3FBB" w:rsidRPr="00523E08" w:rsidRDefault="00673B5A" w:rsidP="00FA3FBB">
      <w:pPr>
        <w:jc w:val="center"/>
        <w:rPr>
          <w:b/>
          <w:sz w:val="28"/>
          <w:szCs w:val="28"/>
          <w:u w:val="single"/>
        </w:rPr>
      </w:pPr>
      <w:r>
        <w:rPr>
          <w:b/>
          <w:sz w:val="28"/>
          <w:szCs w:val="28"/>
          <w:u w:val="single"/>
        </w:rPr>
        <w:t xml:space="preserve">SELECTED </w:t>
      </w:r>
      <w:r w:rsidR="00F77EDB">
        <w:rPr>
          <w:b/>
          <w:sz w:val="28"/>
          <w:szCs w:val="28"/>
          <w:u w:val="single"/>
        </w:rPr>
        <w:t xml:space="preserve">SCHOLARLY </w:t>
      </w:r>
      <w:r w:rsidR="00FA3FBB" w:rsidRPr="00523E08">
        <w:rPr>
          <w:b/>
          <w:sz w:val="28"/>
          <w:szCs w:val="28"/>
          <w:u w:val="single"/>
        </w:rPr>
        <w:t>PRESENTATIONS</w:t>
      </w:r>
    </w:p>
    <w:p w14:paraId="71B3EBF7" w14:textId="77777777" w:rsidR="00AE2BA1" w:rsidRPr="00AE2BA1" w:rsidRDefault="00AE2BA1" w:rsidP="00AE2BA1">
      <w:pPr>
        <w:rPr>
          <w:iCs/>
        </w:rPr>
      </w:pPr>
    </w:p>
    <w:p w14:paraId="7C7F26C1" w14:textId="29B4B8F8" w:rsidR="00AE2BA1" w:rsidRDefault="00AE2BA1" w:rsidP="00AE2BA1">
      <w:pPr>
        <w:rPr>
          <w:i/>
        </w:rPr>
      </w:pPr>
      <w:r>
        <w:rPr>
          <w:i/>
        </w:rPr>
        <w:t>A Two-System Theory of Negligence</w:t>
      </w:r>
    </w:p>
    <w:p w14:paraId="34FEB00D" w14:textId="77777777" w:rsidR="00AE2BA1" w:rsidRDefault="00AE2BA1" w:rsidP="00AE2BA1">
      <w:pPr>
        <w:pStyle w:val="ListParagraph"/>
        <w:numPr>
          <w:ilvl w:val="0"/>
          <w:numId w:val="15"/>
        </w:numPr>
        <w:ind w:left="720"/>
        <w:rPr>
          <w:iCs/>
        </w:rPr>
      </w:pPr>
      <w:r>
        <w:rPr>
          <w:iCs/>
        </w:rPr>
        <w:t>Central States Law School Association, University of Kansas School of Law, Lawrence, Kansas, October 2025 (selected)</w:t>
      </w:r>
    </w:p>
    <w:p w14:paraId="7642C222" w14:textId="4957378C" w:rsidR="00201F1C" w:rsidRDefault="00201F1C" w:rsidP="00AE2BA1">
      <w:pPr>
        <w:pStyle w:val="ListParagraph"/>
        <w:numPr>
          <w:ilvl w:val="0"/>
          <w:numId w:val="15"/>
        </w:numPr>
        <w:ind w:left="720"/>
        <w:rPr>
          <w:iCs/>
        </w:rPr>
      </w:pPr>
      <w:r>
        <w:rPr>
          <w:iCs/>
        </w:rPr>
        <w:t>Texas Junior Scholars Faculty Conference, Baylor Law School, December 2025</w:t>
      </w:r>
    </w:p>
    <w:p w14:paraId="61BF21C3" w14:textId="77777777" w:rsidR="00AE2BA1" w:rsidRDefault="00AE2BA1" w:rsidP="00BA1316">
      <w:pPr>
        <w:rPr>
          <w:i/>
        </w:rPr>
      </w:pPr>
    </w:p>
    <w:p w14:paraId="14DC32B2" w14:textId="77777777" w:rsidR="00AE2BA1" w:rsidRDefault="00AE2BA1" w:rsidP="00AE2BA1">
      <w:pPr>
        <w:rPr>
          <w:i/>
        </w:rPr>
      </w:pPr>
      <w:r>
        <w:rPr>
          <w:i/>
        </w:rPr>
        <w:t>A Cognitive Perspective on Tort Law’s Reasonable Person</w:t>
      </w:r>
    </w:p>
    <w:p w14:paraId="5E919886" w14:textId="77777777" w:rsidR="00AE2BA1" w:rsidRDefault="00AE2BA1" w:rsidP="00AE2BA1">
      <w:pPr>
        <w:pStyle w:val="ListParagraph"/>
        <w:numPr>
          <w:ilvl w:val="0"/>
          <w:numId w:val="15"/>
        </w:numPr>
        <w:ind w:left="720"/>
        <w:rPr>
          <w:iCs/>
        </w:rPr>
      </w:pPr>
      <w:r>
        <w:rPr>
          <w:iCs/>
        </w:rPr>
        <w:t>Department of Psychology and Neuroscience Research Colloquium, Baylor University, Waco, Texas, October 2025 (invited)</w:t>
      </w:r>
    </w:p>
    <w:p w14:paraId="310E839F" w14:textId="77777777" w:rsidR="00AE2BA1" w:rsidRDefault="00AE2BA1" w:rsidP="00BA1316">
      <w:pPr>
        <w:rPr>
          <w:i/>
        </w:rPr>
      </w:pPr>
    </w:p>
    <w:p w14:paraId="406244EF" w14:textId="6F491532" w:rsidR="00BA1316" w:rsidRPr="00DA076E" w:rsidRDefault="00637437" w:rsidP="00BA1316">
      <w:pPr>
        <w:rPr>
          <w:iCs/>
        </w:rPr>
      </w:pPr>
      <w:r>
        <w:rPr>
          <w:i/>
        </w:rPr>
        <w:t xml:space="preserve">The Criteria of </w:t>
      </w:r>
      <w:r w:rsidR="00BA1316">
        <w:rPr>
          <w:i/>
        </w:rPr>
        <w:t>Reasonableness</w:t>
      </w:r>
    </w:p>
    <w:p w14:paraId="502239B3" w14:textId="2AAEE61D" w:rsidR="00637437" w:rsidRDefault="00637437" w:rsidP="000D27C6">
      <w:pPr>
        <w:pStyle w:val="ListParagraph"/>
        <w:numPr>
          <w:ilvl w:val="0"/>
          <w:numId w:val="25"/>
        </w:numPr>
        <w:rPr>
          <w:iCs/>
        </w:rPr>
      </w:pPr>
      <w:r>
        <w:rPr>
          <w:iCs/>
        </w:rPr>
        <w:t>Law and Society Annual Meeting, Chicago, Illinois, May 2025</w:t>
      </w:r>
    </w:p>
    <w:p w14:paraId="0826CB8F" w14:textId="11DC6BDA" w:rsidR="00BA1316" w:rsidRPr="00BA1316" w:rsidRDefault="00BA1316" w:rsidP="000D27C6">
      <w:pPr>
        <w:pStyle w:val="ListParagraph"/>
        <w:numPr>
          <w:ilvl w:val="0"/>
          <w:numId w:val="25"/>
        </w:numPr>
        <w:rPr>
          <w:iCs/>
        </w:rPr>
      </w:pPr>
      <w:r w:rsidRPr="00BA1316">
        <w:rPr>
          <w:iCs/>
        </w:rPr>
        <w:t xml:space="preserve">American Psychology-Law Society Annual Conference, San Juan, Puerto Rico, March 2025 (selected) </w:t>
      </w:r>
    </w:p>
    <w:p w14:paraId="61CAE2AC" w14:textId="77777777" w:rsidR="00AE2BA1" w:rsidRPr="00AE2BA1" w:rsidRDefault="00AE2BA1" w:rsidP="00637437">
      <w:pPr>
        <w:rPr>
          <w:i/>
        </w:rPr>
      </w:pPr>
    </w:p>
    <w:p w14:paraId="526F349E" w14:textId="67C9CBE0" w:rsidR="00637437" w:rsidRDefault="00637437" w:rsidP="00637437">
      <w:pPr>
        <w:rPr>
          <w:i/>
        </w:rPr>
      </w:pPr>
      <w:r>
        <w:rPr>
          <w:i/>
        </w:rPr>
        <w:t>An Evolutionary Perspective on the Endowment Effect</w:t>
      </w:r>
    </w:p>
    <w:p w14:paraId="03450A25" w14:textId="77777777" w:rsidR="00637437" w:rsidRDefault="00637437" w:rsidP="00637437">
      <w:pPr>
        <w:pStyle w:val="ListParagraph"/>
        <w:numPr>
          <w:ilvl w:val="0"/>
          <w:numId w:val="25"/>
        </w:numPr>
        <w:rPr>
          <w:iCs/>
        </w:rPr>
      </w:pPr>
      <w:r>
        <w:rPr>
          <w:iCs/>
        </w:rPr>
        <w:t>The Gruter Institute for Law and Behavioral Research Conference, Tahoe, California, May 2025 (invited)</w:t>
      </w:r>
    </w:p>
    <w:p w14:paraId="4E22FAA2" w14:textId="005297FF" w:rsidR="00637437" w:rsidRDefault="00637437" w:rsidP="00637437">
      <w:pPr>
        <w:pStyle w:val="ListParagraph"/>
        <w:rPr>
          <w:iCs/>
        </w:rPr>
      </w:pPr>
    </w:p>
    <w:p w14:paraId="604CE0A2" w14:textId="77777777" w:rsidR="005D1547" w:rsidRDefault="005D1547" w:rsidP="00637437">
      <w:pPr>
        <w:pStyle w:val="ListParagraph"/>
        <w:rPr>
          <w:iCs/>
        </w:rPr>
      </w:pPr>
    </w:p>
    <w:p w14:paraId="7037E8D7" w14:textId="77777777" w:rsidR="005D1547" w:rsidRDefault="005D1547" w:rsidP="00637437">
      <w:pPr>
        <w:pStyle w:val="ListParagraph"/>
        <w:rPr>
          <w:iCs/>
        </w:rPr>
      </w:pPr>
    </w:p>
    <w:p w14:paraId="2BA42135" w14:textId="77777777" w:rsidR="005D1547" w:rsidRPr="00637437" w:rsidRDefault="005D1547" w:rsidP="00637437">
      <w:pPr>
        <w:pStyle w:val="ListParagraph"/>
        <w:rPr>
          <w:iCs/>
        </w:rPr>
      </w:pPr>
    </w:p>
    <w:p w14:paraId="27F36D38" w14:textId="37B19CF5" w:rsidR="00DA076E" w:rsidRPr="00DA076E" w:rsidRDefault="00DA076E" w:rsidP="00DA076E">
      <w:pPr>
        <w:rPr>
          <w:iCs/>
        </w:rPr>
      </w:pPr>
      <w:r>
        <w:rPr>
          <w:i/>
        </w:rPr>
        <w:lastRenderedPageBreak/>
        <w:t>The Hand Formula’s Unequal Inputs</w:t>
      </w:r>
    </w:p>
    <w:p w14:paraId="6CF500B9" w14:textId="68FCF6CB" w:rsidR="00FD72F7" w:rsidRDefault="00FD72F7" w:rsidP="00BA1316">
      <w:pPr>
        <w:pStyle w:val="ListParagraph"/>
        <w:numPr>
          <w:ilvl w:val="0"/>
          <w:numId w:val="15"/>
        </w:numPr>
        <w:ind w:left="720"/>
        <w:rPr>
          <w:iCs/>
        </w:rPr>
      </w:pPr>
      <w:r>
        <w:rPr>
          <w:iCs/>
        </w:rPr>
        <w:t>AALS Awards Ceremony, San Francisco, California, January 2025 (selected)</w:t>
      </w:r>
    </w:p>
    <w:p w14:paraId="7DB4ED3C" w14:textId="4D079ABC" w:rsidR="00F77EDB" w:rsidRDefault="00F77EDB" w:rsidP="00BA1316">
      <w:pPr>
        <w:pStyle w:val="ListParagraph"/>
        <w:numPr>
          <w:ilvl w:val="0"/>
          <w:numId w:val="15"/>
        </w:numPr>
        <w:ind w:left="720"/>
        <w:rPr>
          <w:iCs/>
        </w:rPr>
      </w:pPr>
      <w:r>
        <w:rPr>
          <w:iCs/>
        </w:rPr>
        <w:t>Conference on Empirical Legal Studies, Emory Law School, Atlanta, Georgia, November 2024 (</w:t>
      </w:r>
      <w:r w:rsidR="00FF57A0">
        <w:rPr>
          <w:iCs/>
        </w:rPr>
        <w:t>selecte</w:t>
      </w:r>
      <w:r>
        <w:rPr>
          <w:iCs/>
        </w:rPr>
        <w:t>d)</w:t>
      </w:r>
    </w:p>
    <w:p w14:paraId="2FAA9E06" w14:textId="15A7FCAF" w:rsidR="00F77EDB" w:rsidRDefault="00F77EDB" w:rsidP="00BA1316">
      <w:pPr>
        <w:pStyle w:val="ListParagraph"/>
        <w:numPr>
          <w:ilvl w:val="0"/>
          <w:numId w:val="15"/>
        </w:numPr>
        <w:ind w:left="720"/>
        <w:rPr>
          <w:iCs/>
        </w:rPr>
      </w:pPr>
      <w:r>
        <w:rPr>
          <w:iCs/>
        </w:rPr>
        <w:t>Emory Law School Scholarship Colloquium, Emory Law School, Atlanta, Georgia, October 2024 (invited)</w:t>
      </w:r>
    </w:p>
    <w:p w14:paraId="37E0E41E" w14:textId="506328CB" w:rsidR="00DA076E" w:rsidRDefault="00DA076E" w:rsidP="00BA1316">
      <w:pPr>
        <w:pStyle w:val="ListParagraph"/>
        <w:numPr>
          <w:ilvl w:val="0"/>
          <w:numId w:val="15"/>
        </w:numPr>
        <w:ind w:left="720"/>
        <w:rPr>
          <w:iCs/>
        </w:rPr>
      </w:pPr>
      <w:r>
        <w:rPr>
          <w:iCs/>
        </w:rPr>
        <w:t xml:space="preserve">AALS Jurisprudence Junior Works-in-Progress Workshop, </w:t>
      </w:r>
      <w:r w:rsidR="00F77EDB">
        <w:rPr>
          <w:iCs/>
        </w:rPr>
        <w:t xml:space="preserve">Zoom Workshop, </w:t>
      </w:r>
      <w:r>
        <w:rPr>
          <w:iCs/>
        </w:rPr>
        <w:t>September 2024 (</w:t>
      </w:r>
      <w:r w:rsidR="00FF57A0">
        <w:rPr>
          <w:iCs/>
        </w:rPr>
        <w:t>selecte</w:t>
      </w:r>
      <w:r>
        <w:rPr>
          <w:iCs/>
        </w:rPr>
        <w:t>d)</w:t>
      </w:r>
    </w:p>
    <w:p w14:paraId="16A8247E" w14:textId="409541DA" w:rsidR="00F77EDB" w:rsidRDefault="00F77EDB" w:rsidP="00BA1316">
      <w:pPr>
        <w:pStyle w:val="ListParagraph"/>
        <w:numPr>
          <w:ilvl w:val="0"/>
          <w:numId w:val="15"/>
        </w:numPr>
        <w:ind w:left="720"/>
        <w:rPr>
          <w:iCs/>
        </w:rPr>
      </w:pPr>
      <w:r>
        <w:rPr>
          <w:iCs/>
        </w:rPr>
        <w:t>Central States Law School Association, Texas Tech University School of Law, Lubbock, Texas, September 2024 (</w:t>
      </w:r>
      <w:r w:rsidR="00FF57A0">
        <w:rPr>
          <w:iCs/>
        </w:rPr>
        <w:t>selected</w:t>
      </w:r>
      <w:r>
        <w:rPr>
          <w:iCs/>
        </w:rPr>
        <w:t>)</w:t>
      </w:r>
    </w:p>
    <w:p w14:paraId="41EEE3DA" w14:textId="6CA9CA78" w:rsidR="008A0D16" w:rsidRPr="008A0D16" w:rsidRDefault="008A0D16" w:rsidP="00BA1316">
      <w:pPr>
        <w:pStyle w:val="ListParagraph"/>
        <w:numPr>
          <w:ilvl w:val="0"/>
          <w:numId w:val="15"/>
        </w:numPr>
        <w:ind w:left="720"/>
        <w:rPr>
          <w:iCs/>
        </w:rPr>
      </w:pPr>
      <w:r>
        <w:rPr>
          <w:iCs/>
        </w:rPr>
        <w:t>New Scholars Workshop,</w:t>
      </w:r>
      <w:r w:rsidR="004F02EA">
        <w:rPr>
          <w:iCs/>
        </w:rPr>
        <w:t xml:space="preserve"> Torts &amp; Civil Procedure Panel,</w:t>
      </w:r>
      <w:r>
        <w:rPr>
          <w:iCs/>
        </w:rPr>
        <w:t xml:space="preserve"> Southeastern Association of Law </w:t>
      </w:r>
      <w:proofErr w:type="spellStart"/>
      <w:r>
        <w:rPr>
          <w:iCs/>
        </w:rPr>
        <w:t>Schools</w:t>
      </w:r>
      <w:proofErr w:type="spellEnd"/>
      <w:r>
        <w:rPr>
          <w:iCs/>
        </w:rPr>
        <w:t xml:space="preserve"> Annual Meeting, Fort Lauderdale, Florida, July 2024</w:t>
      </w:r>
      <w:r w:rsidR="00970A54">
        <w:rPr>
          <w:iCs/>
        </w:rPr>
        <w:t xml:space="preserve"> </w:t>
      </w:r>
      <w:r w:rsidR="00DA076E">
        <w:rPr>
          <w:iCs/>
        </w:rPr>
        <w:t>(selected)</w:t>
      </w:r>
    </w:p>
    <w:p w14:paraId="65338968" w14:textId="12BEC27A" w:rsidR="00AE1DE9" w:rsidRPr="000830E3" w:rsidRDefault="008A0D16" w:rsidP="00BA1316">
      <w:pPr>
        <w:pStyle w:val="ListParagraph"/>
        <w:numPr>
          <w:ilvl w:val="0"/>
          <w:numId w:val="15"/>
        </w:numPr>
        <w:ind w:left="720"/>
        <w:rPr>
          <w:iCs/>
        </w:rPr>
      </w:pPr>
      <w:r>
        <w:t xml:space="preserve">Law and Society Annual Meeting, Denver, Colorado, June 2024 </w:t>
      </w:r>
    </w:p>
    <w:p w14:paraId="5D9B13AD" w14:textId="77AA300A" w:rsidR="000830E3" w:rsidRPr="008A0D16" w:rsidRDefault="000830E3" w:rsidP="00BA1316">
      <w:pPr>
        <w:pStyle w:val="ListParagraph"/>
        <w:numPr>
          <w:ilvl w:val="0"/>
          <w:numId w:val="15"/>
        </w:numPr>
        <w:ind w:left="720"/>
        <w:rPr>
          <w:iCs/>
        </w:rPr>
      </w:pPr>
      <w:r>
        <w:t xml:space="preserve">Baylor Scholarship Colloquium, </w:t>
      </w:r>
      <w:r w:rsidR="00002293">
        <w:t>Baylor Law School, Waco, Texas, December 2023</w:t>
      </w:r>
    </w:p>
    <w:p w14:paraId="25D7C655" w14:textId="77777777" w:rsidR="00637437" w:rsidRPr="00AE2BA1" w:rsidRDefault="00637437" w:rsidP="00AE2BA1">
      <w:pPr>
        <w:rPr>
          <w:iCs/>
        </w:rPr>
      </w:pPr>
    </w:p>
    <w:p w14:paraId="3369D9FF" w14:textId="50AEBCD7" w:rsidR="004F02EA" w:rsidRDefault="004F02EA" w:rsidP="00BA1316">
      <w:pPr>
        <w:rPr>
          <w:i/>
        </w:rPr>
      </w:pPr>
      <w:r>
        <w:rPr>
          <w:i/>
        </w:rPr>
        <w:t>Intuitive Promise Enforcement</w:t>
      </w:r>
    </w:p>
    <w:p w14:paraId="4A2D91E9" w14:textId="33888E1F" w:rsidR="004F02EA" w:rsidRDefault="004F02EA" w:rsidP="00BA1316">
      <w:pPr>
        <w:pStyle w:val="ListParagraph"/>
        <w:numPr>
          <w:ilvl w:val="0"/>
          <w:numId w:val="15"/>
        </w:numPr>
        <w:ind w:left="720"/>
        <w:rPr>
          <w:iCs/>
        </w:rPr>
      </w:pPr>
      <w:r>
        <w:rPr>
          <w:iCs/>
        </w:rPr>
        <w:t>New Scholars Workshop, “The Next Article” Discussion Group, Southeastern Association of Law Schools Annual Meeting, Fort Lauderdale, Florida, July 2024</w:t>
      </w:r>
    </w:p>
    <w:p w14:paraId="5B37C9C2" w14:textId="77777777" w:rsidR="004F02EA" w:rsidRDefault="004F02EA" w:rsidP="00BA1316">
      <w:pPr>
        <w:pStyle w:val="ListParagraph"/>
        <w:ind w:hanging="360"/>
        <w:rPr>
          <w:iCs/>
        </w:rPr>
      </w:pPr>
    </w:p>
    <w:p w14:paraId="191E5881" w14:textId="10AF62B1" w:rsidR="00AE1DE9" w:rsidRDefault="00AE1DE9" w:rsidP="00BA1316">
      <w:pPr>
        <w:rPr>
          <w:iCs/>
        </w:rPr>
      </w:pPr>
      <w:r>
        <w:rPr>
          <w:i/>
        </w:rPr>
        <w:t xml:space="preserve">Katz’s Imperfect Circle: An Empirical Study of Reasonable Expectations of Privacy </w:t>
      </w:r>
      <w:r>
        <w:rPr>
          <w:iCs/>
        </w:rPr>
        <w:t>(with Tonja Ja</w:t>
      </w:r>
      <w:r w:rsidR="00B5527E">
        <w:rPr>
          <w:iCs/>
        </w:rPr>
        <w:t>c</w:t>
      </w:r>
      <w:r>
        <w:rPr>
          <w:iCs/>
        </w:rPr>
        <w:t>obi)</w:t>
      </w:r>
    </w:p>
    <w:p w14:paraId="08DB4095" w14:textId="2BC808B5" w:rsidR="00E23BB2" w:rsidRDefault="00E23BB2" w:rsidP="00BA1316">
      <w:pPr>
        <w:pStyle w:val="ListParagraph"/>
        <w:numPr>
          <w:ilvl w:val="0"/>
          <w:numId w:val="15"/>
        </w:numPr>
        <w:ind w:left="720"/>
      </w:pPr>
      <w:r>
        <w:t>Harvard Law School Law &amp; Politics Workshop, April 2024</w:t>
      </w:r>
    </w:p>
    <w:p w14:paraId="7E499E33" w14:textId="5D93C436" w:rsidR="00E23BB2" w:rsidRDefault="00E23BB2" w:rsidP="00BA1316">
      <w:pPr>
        <w:pStyle w:val="ListParagraph"/>
        <w:numPr>
          <w:ilvl w:val="0"/>
          <w:numId w:val="15"/>
        </w:numPr>
        <w:ind w:left="720"/>
      </w:pPr>
      <w:r>
        <w:t>George Mason Law School Faculty Workshop, January 2024</w:t>
      </w:r>
    </w:p>
    <w:p w14:paraId="564E38A2" w14:textId="49528874" w:rsidR="00D45C36" w:rsidRDefault="00D45C36" w:rsidP="00BA1316">
      <w:pPr>
        <w:pStyle w:val="ListParagraph"/>
        <w:numPr>
          <w:ilvl w:val="0"/>
          <w:numId w:val="15"/>
        </w:numPr>
        <w:ind w:left="720"/>
      </w:pPr>
      <w:r w:rsidRPr="00267C3B">
        <w:t>AALS Criminal Procedure Works in Progress Session</w:t>
      </w:r>
      <w:r>
        <w:t>, Washington DC, January 2024</w:t>
      </w:r>
    </w:p>
    <w:p w14:paraId="7F725FD9" w14:textId="023214A2" w:rsidR="00AE1DE9" w:rsidRDefault="00AE1DE9" w:rsidP="00BA1316">
      <w:pPr>
        <w:pStyle w:val="ListParagraph"/>
        <w:numPr>
          <w:ilvl w:val="0"/>
          <w:numId w:val="15"/>
        </w:numPr>
        <w:ind w:left="720"/>
      </w:pPr>
      <w:r>
        <w:t>17</w:t>
      </w:r>
      <w:r w:rsidRPr="00AE1DE9">
        <w:rPr>
          <w:vertAlign w:val="superscript"/>
        </w:rPr>
        <w:t>th</w:t>
      </w:r>
      <w:r>
        <w:t xml:space="preserve"> Annual Conference on Empirical Legal Studies, University of Chicago, Chicago, Illinois, October 2023 (selected)</w:t>
      </w:r>
    </w:p>
    <w:p w14:paraId="27BE0769" w14:textId="77777777" w:rsidR="00AE1DE9" w:rsidRDefault="00AE1DE9" w:rsidP="00BA1316">
      <w:pPr>
        <w:ind w:left="720" w:hanging="360"/>
        <w:rPr>
          <w:iCs/>
        </w:rPr>
      </w:pPr>
    </w:p>
    <w:p w14:paraId="5F16912B" w14:textId="6378257D" w:rsidR="00C53754" w:rsidRPr="003E66ED" w:rsidRDefault="00C53754" w:rsidP="00BA1316">
      <w:r>
        <w:rPr>
          <w:i/>
        </w:rPr>
        <w:t>Remembering Conversation in Group Settings</w:t>
      </w:r>
      <w:r w:rsidR="003E66ED">
        <w:rPr>
          <w:i/>
        </w:rPr>
        <w:t xml:space="preserve"> </w:t>
      </w:r>
      <w:r w:rsidR="003E66ED">
        <w:t>(with Sarah Brown-Schmidt, Kaitlin Lord, &amp; Aaron S. Benjamin)</w:t>
      </w:r>
    </w:p>
    <w:p w14:paraId="26B12F22" w14:textId="17E2EB55" w:rsidR="00002293" w:rsidRDefault="00002293" w:rsidP="00BA1316">
      <w:pPr>
        <w:pStyle w:val="ListParagraph"/>
        <w:numPr>
          <w:ilvl w:val="0"/>
          <w:numId w:val="15"/>
        </w:numPr>
        <w:ind w:left="720"/>
        <w:rPr>
          <w:iCs/>
        </w:rPr>
      </w:pPr>
      <w:r>
        <w:rPr>
          <w:iCs/>
        </w:rPr>
        <w:t>37</w:t>
      </w:r>
      <w:r w:rsidRPr="00002293">
        <w:rPr>
          <w:iCs/>
          <w:vertAlign w:val="superscript"/>
        </w:rPr>
        <w:t>th</w:t>
      </w:r>
      <w:r>
        <w:rPr>
          <w:iCs/>
        </w:rPr>
        <w:t xml:space="preserve"> Annual Conference on Human Sentence Processing, University of Michigan, Ann Arbor, Michigan, May 2024 </w:t>
      </w:r>
    </w:p>
    <w:p w14:paraId="7C896275" w14:textId="1B7B6441" w:rsidR="00002293" w:rsidRDefault="00D45C36" w:rsidP="00BA1316">
      <w:pPr>
        <w:pStyle w:val="ListParagraph"/>
        <w:numPr>
          <w:ilvl w:val="0"/>
          <w:numId w:val="15"/>
        </w:numPr>
        <w:ind w:left="720"/>
        <w:rPr>
          <w:iCs/>
        </w:rPr>
      </w:pPr>
      <w:r>
        <w:rPr>
          <w:iCs/>
        </w:rPr>
        <w:t>60</w:t>
      </w:r>
      <w:r w:rsidRPr="00D45C36">
        <w:rPr>
          <w:iCs/>
          <w:vertAlign w:val="superscript"/>
        </w:rPr>
        <w:t>th</w:t>
      </w:r>
      <w:r>
        <w:rPr>
          <w:iCs/>
        </w:rPr>
        <w:t xml:space="preserve"> </w:t>
      </w:r>
      <w:r w:rsidR="00C53754">
        <w:rPr>
          <w:iCs/>
        </w:rPr>
        <w:t>Annual Conference of the American Psychology-Law Society, Los Angeles, California, March 2024</w:t>
      </w:r>
    </w:p>
    <w:p w14:paraId="259EC071" w14:textId="77777777" w:rsidR="00BA1316" w:rsidRDefault="00BA1316" w:rsidP="00BA1316">
      <w:pPr>
        <w:rPr>
          <w:iCs/>
        </w:rPr>
      </w:pPr>
    </w:p>
    <w:p w14:paraId="30D4D70A" w14:textId="512C2546" w:rsidR="00AE1DE9" w:rsidRDefault="00AE1DE9" w:rsidP="00BA1316">
      <w:pPr>
        <w:rPr>
          <w:i/>
        </w:rPr>
      </w:pPr>
      <w:r>
        <w:rPr>
          <w:i/>
        </w:rPr>
        <w:t>Reasonableness from an Experimental Jurisprudence Perspective</w:t>
      </w:r>
    </w:p>
    <w:p w14:paraId="2D106F88" w14:textId="57DEFFB5" w:rsidR="00AE1DE9" w:rsidRDefault="00AE1DE9" w:rsidP="00BA1316">
      <w:pPr>
        <w:pStyle w:val="ListParagraph"/>
        <w:numPr>
          <w:ilvl w:val="0"/>
          <w:numId w:val="15"/>
        </w:numPr>
        <w:ind w:left="720"/>
      </w:pPr>
      <w:r>
        <w:t>114</w:t>
      </w:r>
      <w:r w:rsidRPr="00994BA2">
        <w:rPr>
          <w:vertAlign w:val="superscript"/>
        </w:rPr>
        <w:t>th</w:t>
      </w:r>
      <w:r>
        <w:rPr>
          <w:vertAlign w:val="superscript"/>
        </w:rPr>
        <w:t xml:space="preserve"> </w:t>
      </w:r>
      <w:r>
        <w:t xml:space="preserve">Annual Meeting of the Southern Society for Philosophy and Psychology, Louisville, Kentucky, March 2023 </w:t>
      </w:r>
      <w:r w:rsidR="00002293">
        <w:t>(invited)</w:t>
      </w:r>
    </w:p>
    <w:p w14:paraId="719A6479" w14:textId="77777777" w:rsidR="00002293" w:rsidRPr="008A0D16" w:rsidRDefault="00002293" w:rsidP="00BA1316">
      <w:pPr>
        <w:pStyle w:val="ListParagraph"/>
        <w:ind w:hanging="360"/>
      </w:pPr>
    </w:p>
    <w:p w14:paraId="6044E47D" w14:textId="0D755C85" w:rsidR="00994BA2" w:rsidRPr="00A315D6" w:rsidRDefault="00A315D6" w:rsidP="00BA1316">
      <w:r>
        <w:rPr>
          <w:i/>
          <w:iCs/>
        </w:rPr>
        <w:t xml:space="preserve">Memcons: How Contemporaneous Note-Taking Shapes Memory for Conversations </w:t>
      </w:r>
      <w:r>
        <w:t>(with Sarah Brown-Schmidt, Melissa J. Evans, &amp; Aaron S. Benjamin)</w:t>
      </w:r>
    </w:p>
    <w:p w14:paraId="3BE6A470" w14:textId="48D0D0FF" w:rsidR="00A315D6" w:rsidRDefault="00A315D6" w:rsidP="00BA1316">
      <w:pPr>
        <w:pStyle w:val="ListParagraph"/>
        <w:numPr>
          <w:ilvl w:val="0"/>
          <w:numId w:val="15"/>
        </w:numPr>
        <w:ind w:left="720"/>
      </w:pPr>
      <w:r>
        <w:t>16</w:t>
      </w:r>
      <w:r w:rsidRPr="00964CBC">
        <w:rPr>
          <w:vertAlign w:val="superscript"/>
        </w:rPr>
        <w:t>th</w:t>
      </w:r>
      <w:r>
        <w:t xml:space="preserve"> Annual Conference on Empirical Legal Studies, Cornell Law School, Ithaca, New York, November 2022 (selected)</w:t>
      </w:r>
    </w:p>
    <w:p w14:paraId="02DF02E1" w14:textId="18A722D8" w:rsidR="00A315D6" w:rsidRDefault="00A315D6" w:rsidP="00BA1316">
      <w:pPr>
        <w:pStyle w:val="ListParagraph"/>
        <w:numPr>
          <w:ilvl w:val="0"/>
          <w:numId w:val="15"/>
        </w:numPr>
        <w:ind w:left="720"/>
      </w:pPr>
      <w:r>
        <w:t>63</w:t>
      </w:r>
      <w:r w:rsidRPr="00A315D6">
        <w:rPr>
          <w:vertAlign w:val="superscript"/>
        </w:rPr>
        <w:t>rd</w:t>
      </w:r>
      <w:r>
        <w:t xml:space="preserve"> M</w:t>
      </w:r>
      <w:r w:rsidRPr="0023748E">
        <w:t>eeting of the Psychonomic Society</w:t>
      </w:r>
      <w:r>
        <w:t>, Boston, Massachusetts, November 2022 (selected)</w:t>
      </w:r>
    </w:p>
    <w:p w14:paraId="56FC32A6" w14:textId="370ABC45" w:rsidR="0080677C" w:rsidRDefault="00A315D6" w:rsidP="00BA1316">
      <w:pPr>
        <w:pStyle w:val="ListParagraph"/>
        <w:numPr>
          <w:ilvl w:val="0"/>
          <w:numId w:val="15"/>
        </w:numPr>
        <w:ind w:left="720"/>
      </w:pPr>
      <w:r>
        <w:lastRenderedPageBreak/>
        <w:t>American Association for the Advancement of Science, Seattle, Washington, February 2020 (invited)</w:t>
      </w:r>
    </w:p>
    <w:p w14:paraId="6B540DD2" w14:textId="77777777" w:rsidR="00EA71F8" w:rsidRDefault="00EA71F8" w:rsidP="00BA1316">
      <w:pPr>
        <w:ind w:left="720" w:hanging="360"/>
        <w:rPr>
          <w:iCs/>
        </w:rPr>
      </w:pPr>
    </w:p>
    <w:p w14:paraId="6D42C543" w14:textId="508255DE" w:rsidR="00994BA2" w:rsidRDefault="00994BA2" w:rsidP="00BA1316">
      <w:pPr>
        <w:rPr>
          <w:i/>
        </w:rPr>
      </w:pPr>
      <w:r>
        <w:rPr>
          <w:i/>
        </w:rPr>
        <w:t>Law &amp; Psychology Symposium (Chair)</w:t>
      </w:r>
    </w:p>
    <w:p w14:paraId="13096967" w14:textId="41ADFE08" w:rsidR="00994BA2" w:rsidRDefault="00994BA2" w:rsidP="00BA1316">
      <w:pPr>
        <w:pStyle w:val="ListParagraph"/>
        <w:numPr>
          <w:ilvl w:val="0"/>
          <w:numId w:val="15"/>
        </w:numPr>
        <w:ind w:left="720"/>
      </w:pPr>
      <w:r>
        <w:t>113</w:t>
      </w:r>
      <w:r w:rsidRPr="00994BA2">
        <w:rPr>
          <w:vertAlign w:val="superscript"/>
        </w:rPr>
        <w:t>th</w:t>
      </w:r>
      <w:r w:rsidR="00F76419">
        <w:rPr>
          <w:vertAlign w:val="superscript"/>
        </w:rPr>
        <w:t xml:space="preserve"> </w:t>
      </w:r>
      <w:r w:rsidR="00F76419">
        <w:t xml:space="preserve">Annual Meeting of </w:t>
      </w:r>
      <w:r w:rsidR="00A315D6">
        <w:t xml:space="preserve">the Southern Society for Philosophy and Psychology, Mobile, Alabama, March 2022 </w:t>
      </w:r>
      <w:r w:rsidR="00002293">
        <w:t>(invited)</w:t>
      </w:r>
    </w:p>
    <w:p w14:paraId="12DC18F1" w14:textId="77777777" w:rsidR="00AE2BA1" w:rsidRDefault="00AE2BA1" w:rsidP="00737760">
      <w:pPr>
        <w:rPr>
          <w:i/>
        </w:rPr>
      </w:pPr>
    </w:p>
    <w:p w14:paraId="657B1C06" w14:textId="0BFC8E0F" w:rsidR="00131134" w:rsidRDefault="00FA3FBB" w:rsidP="00BA1316">
      <w:pPr>
        <w:rPr>
          <w:i/>
        </w:rPr>
      </w:pPr>
      <w:r>
        <w:rPr>
          <w:i/>
        </w:rPr>
        <w:t>The Empirical Reasonable Person</w:t>
      </w:r>
    </w:p>
    <w:p w14:paraId="2CEB785B" w14:textId="0A822E99" w:rsidR="004518F1" w:rsidRDefault="004518F1" w:rsidP="00BA1316">
      <w:pPr>
        <w:pStyle w:val="ListParagraph"/>
        <w:numPr>
          <w:ilvl w:val="0"/>
          <w:numId w:val="15"/>
        </w:numPr>
        <w:ind w:left="720"/>
      </w:pPr>
      <w:r>
        <w:t xml:space="preserve">Prospective Law Teachers Workshop, Southeastern Association of Law Schools Annual Conference, Fort Lauderdale, Florida, July 2020 </w:t>
      </w:r>
      <w:r w:rsidR="00091926">
        <w:t>(selected)</w:t>
      </w:r>
    </w:p>
    <w:p w14:paraId="43CCEC94" w14:textId="5FDC0499" w:rsidR="00FA3FBB" w:rsidRDefault="00FA3FBB" w:rsidP="00BA1316">
      <w:pPr>
        <w:pStyle w:val="ListParagraph"/>
        <w:numPr>
          <w:ilvl w:val="0"/>
          <w:numId w:val="15"/>
        </w:numPr>
        <w:ind w:left="720"/>
      </w:pPr>
      <w:r>
        <w:t>Academic Careers Program Scholarship Clinic, NYU School of Law, New York, New York</w:t>
      </w:r>
      <w:r w:rsidR="004518F1">
        <w:t xml:space="preserve">, </w:t>
      </w:r>
      <w:r>
        <w:t>April 2020</w:t>
      </w:r>
      <w:r w:rsidR="00E94B48">
        <w:t xml:space="preserve"> (selected)</w:t>
      </w:r>
    </w:p>
    <w:p w14:paraId="5436F445" w14:textId="0AC280EE" w:rsidR="00131134" w:rsidRDefault="00131134" w:rsidP="00BA1316">
      <w:pPr>
        <w:pStyle w:val="ListParagraph"/>
        <w:numPr>
          <w:ilvl w:val="0"/>
          <w:numId w:val="15"/>
        </w:numPr>
        <w:ind w:left="720"/>
      </w:pPr>
      <w:r>
        <w:t>Lawyering Scholarship Colloquium, NYU School of Law, New York, New York</w:t>
      </w:r>
      <w:r w:rsidR="004518F1">
        <w:t xml:space="preserve">, </w:t>
      </w:r>
      <w:r>
        <w:t>November 2019</w:t>
      </w:r>
    </w:p>
    <w:p w14:paraId="4A6EDA22" w14:textId="7CA5BFA9" w:rsidR="00131134" w:rsidRDefault="00131134" w:rsidP="00BA1316">
      <w:pPr>
        <w:pStyle w:val="ListParagraph"/>
        <w:numPr>
          <w:ilvl w:val="0"/>
          <w:numId w:val="15"/>
        </w:numPr>
        <w:ind w:left="720"/>
      </w:pPr>
      <w:r>
        <w:t>13</w:t>
      </w:r>
      <w:r w:rsidRPr="00131134">
        <w:rPr>
          <w:vertAlign w:val="superscript"/>
        </w:rPr>
        <w:t>th</w:t>
      </w:r>
      <w:r>
        <w:t xml:space="preserve"> Annual Conference on Empirical Legal Studies, Michigan Law School, Ann Arbor, Michigan</w:t>
      </w:r>
      <w:r w:rsidR="004518F1">
        <w:t xml:space="preserve">, </w:t>
      </w:r>
      <w:r>
        <w:t>November 2018</w:t>
      </w:r>
      <w:r w:rsidR="009E6D63">
        <w:t xml:space="preserve"> (selected)</w:t>
      </w:r>
    </w:p>
    <w:p w14:paraId="5401CC86" w14:textId="77777777" w:rsidR="00737760" w:rsidRDefault="00737760" w:rsidP="00737760">
      <w:pPr>
        <w:pStyle w:val="ListParagraph"/>
      </w:pPr>
    </w:p>
    <w:p w14:paraId="2FD60982" w14:textId="77777777" w:rsidR="00131134" w:rsidRDefault="00FA3FBB" w:rsidP="00BA1316">
      <w:r w:rsidRPr="00BD679B">
        <w:rPr>
          <w:i/>
        </w:rPr>
        <w:t>The Car Wrecked Me: How Concepts of Agency Affect Negligence Decisions</w:t>
      </w:r>
    </w:p>
    <w:p w14:paraId="354814AB" w14:textId="313F8FCE" w:rsidR="00FA3FBB" w:rsidRDefault="00FA3FBB" w:rsidP="00BA1316">
      <w:pPr>
        <w:pStyle w:val="ListParagraph"/>
        <w:numPr>
          <w:ilvl w:val="0"/>
          <w:numId w:val="15"/>
        </w:numPr>
        <w:ind w:left="720"/>
      </w:pPr>
      <w:r>
        <w:t>American Psychological Association Technology, Mind, and Society Conference, Washington, D.C.</w:t>
      </w:r>
      <w:r w:rsidR="004518F1">
        <w:t>, A</w:t>
      </w:r>
      <w:r>
        <w:t>pril 2018</w:t>
      </w:r>
      <w:r w:rsidR="009E6D63">
        <w:t xml:space="preserve"> (selected)</w:t>
      </w:r>
    </w:p>
    <w:p w14:paraId="005F268E" w14:textId="74304436" w:rsidR="00131134" w:rsidRDefault="00131134" w:rsidP="00BA1316">
      <w:pPr>
        <w:pStyle w:val="ListParagraph"/>
        <w:numPr>
          <w:ilvl w:val="0"/>
          <w:numId w:val="15"/>
        </w:numPr>
        <w:ind w:left="720"/>
      </w:pPr>
      <w:r>
        <w:t>12</w:t>
      </w:r>
      <w:r w:rsidRPr="00964CBC">
        <w:rPr>
          <w:vertAlign w:val="superscript"/>
        </w:rPr>
        <w:t>th</w:t>
      </w:r>
      <w:r>
        <w:t xml:space="preserve"> Annual Conference on Empirical Legal Studies, Cornell Law School, Ithaca, New York</w:t>
      </w:r>
      <w:r w:rsidR="004518F1">
        <w:t>,</w:t>
      </w:r>
      <w:r>
        <w:t xml:space="preserve"> October 2017</w:t>
      </w:r>
      <w:r w:rsidR="009E6D63">
        <w:t xml:space="preserve"> (selected)</w:t>
      </w:r>
    </w:p>
    <w:p w14:paraId="294DC3A8" w14:textId="443BE853" w:rsidR="00FA3FBB" w:rsidRDefault="00FA3FBB" w:rsidP="00BA1316">
      <w:pPr>
        <w:ind w:left="720" w:hanging="360"/>
      </w:pPr>
    </w:p>
    <w:p w14:paraId="4B10EBB1" w14:textId="5E0461EA" w:rsidR="00131134" w:rsidRDefault="009D602B" w:rsidP="00BA1316">
      <w:r>
        <w:rPr>
          <w:iCs/>
        </w:rPr>
        <w:t xml:space="preserve">Discussant, </w:t>
      </w:r>
      <w:r w:rsidR="00FA3FBB" w:rsidRPr="00BD679B">
        <w:rPr>
          <w:i/>
        </w:rPr>
        <w:t>The Lay of the Law: Misunderstanding and Bias in Psychological Constructions of Criminality</w:t>
      </w:r>
      <w:r>
        <w:t xml:space="preserve"> </w:t>
      </w:r>
      <w:r w:rsidR="00FA3FBB">
        <w:t>(</w:t>
      </w:r>
      <w:r w:rsidR="00131134">
        <w:t>a</w:t>
      </w:r>
      <w:r w:rsidR="00FA3FBB">
        <w:t>rticle by Avani Mehta Sood)</w:t>
      </w:r>
    </w:p>
    <w:p w14:paraId="61BA4E93" w14:textId="3175A53A" w:rsidR="00FA3FBB" w:rsidRDefault="00FA3FBB" w:rsidP="00BA1316">
      <w:pPr>
        <w:pStyle w:val="ListParagraph"/>
        <w:numPr>
          <w:ilvl w:val="0"/>
          <w:numId w:val="15"/>
        </w:numPr>
        <w:ind w:left="720"/>
      </w:pPr>
      <w:r>
        <w:t>12</w:t>
      </w:r>
      <w:r w:rsidRPr="00131134">
        <w:rPr>
          <w:vertAlign w:val="superscript"/>
        </w:rPr>
        <w:t>th</w:t>
      </w:r>
      <w:r>
        <w:t xml:space="preserve"> Annual Conference on Empirical Legal Studies, Cornell Law School, Ithaca, New York</w:t>
      </w:r>
      <w:r w:rsidR="004518F1">
        <w:t>,</w:t>
      </w:r>
      <w:r>
        <w:t xml:space="preserve"> October 2017</w:t>
      </w:r>
      <w:r w:rsidR="00091926">
        <w:t xml:space="preserve"> (invited)</w:t>
      </w:r>
    </w:p>
    <w:p w14:paraId="56970EB1" w14:textId="1509BF7D" w:rsidR="004919B4" w:rsidRDefault="004919B4" w:rsidP="004919B4"/>
    <w:p w14:paraId="334C15B9" w14:textId="77777777" w:rsidR="00BA1316" w:rsidRPr="00523E08" w:rsidRDefault="00BA1316" w:rsidP="00BA1316">
      <w:pPr>
        <w:jc w:val="center"/>
        <w:rPr>
          <w:b/>
          <w:sz w:val="28"/>
          <w:szCs w:val="28"/>
          <w:u w:val="single"/>
        </w:rPr>
      </w:pPr>
      <w:r w:rsidRPr="00523E08">
        <w:rPr>
          <w:b/>
          <w:sz w:val="28"/>
          <w:szCs w:val="28"/>
          <w:u w:val="single"/>
        </w:rPr>
        <w:t>EDUCATION</w:t>
      </w:r>
    </w:p>
    <w:p w14:paraId="08EA3852" w14:textId="77777777" w:rsidR="00BA1316" w:rsidRPr="00DD3A2A" w:rsidRDefault="00BA1316" w:rsidP="00BA1316">
      <w:pPr>
        <w:rPr>
          <w:b/>
        </w:rPr>
      </w:pPr>
    </w:p>
    <w:p w14:paraId="1C7F684D" w14:textId="77777777" w:rsidR="00BA1316" w:rsidRDefault="00BA1316" w:rsidP="00BA1316">
      <w:pPr>
        <w:tabs>
          <w:tab w:val="right" w:pos="9360"/>
        </w:tabs>
        <w:jc w:val="both"/>
      </w:pPr>
      <w:r>
        <w:rPr>
          <w:b/>
        </w:rPr>
        <w:t>Vanderbilt University</w:t>
      </w:r>
      <w:r>
        <w:t xml:space="preserve">, </w:t>
      </w:r>
      <w:r w:rsidRPr="00B02E1A">
        <w:rPr>
          <w:b/>
        </w:rPr>
        <w:t>Ph.D.</w:t>
      </w:r>
      <w:r w:rsidRPr="00350FED">
        <w:t>,</w:t>
      </w:r>
      <w:r>
        <w:t xml:space="preserve"> Psychological Sciences, January 2015</w:t>
      </w:r>
      <w:r w:rsidRPr="00FA3FBB">
        <w:rPr>
          <w:bCs/>
          <w:color w:val="000000" w:themeColor="text1"/>
          <w:shd w:val="clear" w:color="auto" w:fill="FFFFFF"/>
        </w:rPr>
        <w:t>–</w:t>
      </w:r>
      <w:r>
        <w:t>January 2020</w:t>
      </w:r>
      <w:r>
        <w:tab/>
      </w:r>
    </w:p>
    <w:p w14:paraId="5ED10286" w14:textId="77777777" w:rsidR="00BA1316" w:rsidRPr="001A70B5" w:rsidRDefault="00BA1316" w:rsidP="00BA1316">
      <w:pPr>
        <w:ind w:firstLine="720"/>
        <w:jc w:val="both"/>
        <w:rPr>
          <w:i/>
        </w:rPr>
      </w:pPr>
      <w:r>
        <w:t xml:space="preserve">Dissertation: </w:t>
      </w:r>
      <w:r>
        <w:rPr>
          <w:i/>
        </w:rPr>
        <w:t>Thinking About Other Minds</w:t>
      </w:r>
    </w:p>
    <w:p w14:paraId="135AC37F" w14:textId="77777777" w:rsidR="00BA1316" w:rsidRDefault="00BA1316" w:rsidP="00BA1316">
      <w:pPr>
        <w:ind w:left="720"/>
        <w:jc w:val="both"/>
      </w:pPr>
      <w:r w:rsidRPr="00B02E1A">
        <w:rPr>
          <w:i/>
        </w:rPr>
        <w:t>Selected Honors</w:t>
      </w:r>
      <w:r w:rsidRPr="00B02E1A">
        <w:t>:</w:t>
      </w:r>
      <w:r>
        <w:t xml:space="preserve"> University Graduate Fellowship; Peabody Dean’s Fellowship; </w:t>
      </w:r>
      <w:r w:rsidRPr="00166802">
        <w:t>Research</w:t>
      </w:r>
      <w:r>
        <w:t xml:space="preserve"> </w:t>
      </w:r>
      <w:r w:rsidRPr="00166802">
        <w:t>Achievement Fellowship</w:t>
      </w:r>
      <w:r>
        <w:t xml:space="preserve"> </w:t>
      </w:r>
    </w:p>
    <w:p w14:paraId="1C0A996F" w14:textId="77777777" w:rsidR="00BA1316" w:rsidRDefault="00BA1316" w:rsidP="00BA1316">
      <w:pPr>
        <w:jc w:val="both"/>
        <w:rPr>
          <w:b/>
        </w:rPr>
      </w:pPr>
      <w:r>
        <w:tab/>
      </w:r>
      <w:r>
        <w:tab/>
      </w:r>
    </w:p>
    <w:p w14:paraId="5DACF6F0" w14:textId="77777777" w:rsidR="00BA1316" w:rsidRDefault="00BA1316" w:rsidP="00BA1316">
      <w:pPr>
        <w:tabs>
          <w:tab w:val="right" w:pos="9360"/>
        </w:tabs>
      </w:pPr>
      <w:r w:rsidRPr="00DD3A2A">
        <w:rPr>
          <w:b/>
        </w:rPr>
        <w:t>Vanderbilt Law School</w:t>
      </w:r>
      <w:r w:rsidRPr="00DD3A2A">
        <w:t>,</w:t>
      </w:r>
      <w:r w:rsidRPr="00DD3A2A">
        <w:rPr>
          <w:b/>
        </w:rPr>
        <w:t xml:space="preserve"> </w:t>
      </w:r>
      <w:r w:rsidRPr="00B02E1A">
        <w:rPr>
          <w:b/>
        </w:rPr>
        <w:t>J.D.</w:t>
      </w:r>
      <w:r w:rsidRPr="00091926">
        <w:t>,</w:t>
      </w:r>
      <w:r w:rsidRPr="00DD3A2A">
        <w:t xml:space="preserve"> </w:t>
      </w:r>
      <w:r>
        <w:t>August 2006</w:t>
      </w:r>
      <w:r w:rsidRPr="00FA3FBB">
        <w:rPr>
          <w:bCs/>
          <w:color w:val="000000" w:themeColor="text1"/>
          <w:shd w:val="clear" w:color="auto" w:fill="FFFFFF"/>
        </w:rPr>
        <w:t>–</w:t>
      </w:r>
      <w:r>
        <w:t xml:space="preserve">May </w:t>
      </w:r>
      <w:r w:rsidRPr="00DD3A2A">
        <w:t xml:space="preserve">2009  </w:t>
      </w:r>
    </w:p>
    <w:p w14:paraId="4F8A3731" w14:textId="77777777" w:rsidR="00BA1316" w:rsidRDefault="00BA1316" w:rsidP="00BA1316">
      <w:pPr>
        <w:ind w:firstLine="720"/>
        <w:jc w:val="both"/>
      </w:pPr>
      <w:r>
        <w:t>Articles Editor</w:t>
      </w:r>
      <w:r>
        <w:rPr>
          <w:smallCaps/>
        </w:rPr>
        <w:t xml:space="preserve">, </w:t>
      </w:r>
      <w:r w:rsidRPr="00DD3A2A">
        <w:rPr>
          <w:smallCaps/>
        </w:rPr>
        <w:t>Vanderbilt Law Review</w:t>
      </w:r>
    </w:p>
    <w:p w14:paraId="0474431F" w14:textId="77777777" w:rsidR="00BA1316" w:rsidRDefault="00BA1316" w:rsidP="00BA1316">
      <w:pPr>
        <w:ind w:left="720"/>
        <w:jc w:val="both"/>
      </w:pPr>
      <w:r w:rsidRPr="00B02E1A">
        <w:rPr>
          <w:i/>
        </w:rPr>
        <w:t>Selected Honors</w:t>
      </w:r>
      <w:r>
        <w:t xml:space="preserve">: Order of the Coif; </w:t>
      </w:r>
      <w:r w:rsidRPr="00DD3A2A">
        <w:t>Vanderbilt Legal Academy Scholar</w:t>
      </w:r>
      <w:r>
        <w:t>; Chancellor’s Scholar; Research Assistant, Owen D. Jones and Mark E. Brandon</w:t>
      </w:r>
    </w:p>
    <w:p w14:paraId="7B3FBA73" w14:textId="77777777" w:rsidR="00BA1316" w:rsidRDefault="00BA1316" w:rsidP="00BA1316">
      <w:pPr>
        <w:jc w:val="both"/>
        <w:rPr>
          <w:b/>
        </w:rPr>
      </w:pPr>
    </w:p>
    <w:p w14:paraId="56E0C4D6" w14:textId="77777777" w:rsidR="00BA1316" w:rsidRDefault="00BA1316" w:rsidP="00BA1316">
      <w:pPr>
        <w:tabs>
          <w:tab w:val="right" w:pos="9360"/>
        </w:tabs>
        <w:jc w:val="both"/>
      </w:pPr>
      <w:r w:rsidRPr="00DD3A2A">
        <w:rPr>
          <w:b/>
        </w:rPr>
        <w:t>University of Missouri</w:t>
      </w:r>
      <w:r w:rsidRPr="00B02E1A">
        <w:t xml:space="preserve">, </w:t>
      </w:r>
      <w:r w:rsidRPr="00B02E1A">
        <w:rPr>
          <w:b/>
        </w:rPr>
        <w:t>B.A</w:t>
      </w:r>
      <w:r w:rsidRPr="004919B4">
        <w:rPr>
          <w:b/>
        </w:rPr>
        <w:t>.</w:t>
      </w:r>
      <w:r w:rsidRPr="00091926">
        <w:t>,</w:t>
      </w:r>
      <w:r w:rsidRPr="00DD3A2A">
        <w:t xml:space="preserve"> Psychology, </w:t>
      </w:r>
      <w:r w:rsidRPr="00DD3A2A">
        <w:rPr>
          <w:i/>
        </w:rPr>
        <w:t>summa cum laude</w:t>
      </w:r>
      <w:r w:rsidRPr="00DD3A2A">
        <w:t xml:space="preserve">, </w:t>
      </w:r>
      <w:r>
        <w:t>August 2002</w:t>
      </w:r>
      <w:r w:rsidRPr="00FA3FBB">
        <w:rPr>
          <w:bCs/>
          <w:color w:val="000000" w:themeColor="text1"/>
          <w:shd w:val="clear" w:color="auto" w:fill="FFFFFF"/>
        </w:rPr>
        <w:t>–</w:t>
      </w:r>
      <w:r>
        <w:t xml:space="preserve">May </w:t>
      </w:r>
      <w:r w:rsidRPr="00DD3A2A">
        <w:t>2006</w:t>
      </w:r>
      <w:r>
        <w:tab/>
      </w:r>
    </w:p>
    <w:p w14:paraId="07EC37B6" w14:textId="77777777" w:rsidR="00BA1316" w:rsidRDefault="00BA1316" w:rsidP="00BA1316">
      <w:pPr>
        <w:ind w:left="720" w:right="720"/>
      </w:pPr>
      <w:r w:rsidRPr="00B02E1A">
        <w:rPr>
          <w:i/>
        </w:rPr>
        <w:t>Selected Honors</w:t>
      </w:r>
      <w:r>
        <w:t xml:space="preserve">: Phi Beta Kappa; Hank Waters Scholarship; </w:t>
      </w:r>
      <w:r w:rsidRPr="00DD3A2A">
        <w:t xml:space="preserve">Hocks </w:t>
      </w:r>
      <w:r>
        <w:t>Scholarship in the Humanities; Honors College; Departmental Honors in Psychology; Psi Chi</w:t>
      </w:r>
    </w:p>
    <w:p w14:paraId="0C21FF29" w14:textId="77777777" w:rsidR="00BA1316" w:rsidRDefault="00BA1316" w:rsidP="00BA1316">
      <w:pPr>
        <w:ind w:left="720" w:right="720"/>
      </w:pPr>
    </w:p>
    <w:p w14:paraId="121E6A64" w14:textId="77777777" w:rsidR="005D1547" w:rsidRDefault="005D1547" w:rsidP="00BA1316">
      <w:pPr>
        <w:ind w:left="720" w:right="720"/>
      </w:pPr>
    </w:p>
    <w:p w14:paraId="573A3C45" w14:textId="77777777" w:rsidR="005D1547" w:rsidRDefault="005D1547" w:rsidP="00BA1316">
      <w:pPr>
        <w:ind w:left="720" w:right="720"/>
      </w:pPr>
    </w:p>
    <w:p w14:paraId="403867CB" w14:textId="6336273E" w:rsidR="00841496" w:rsidRPr="00523E08" w:rsidRDefault="00841496" w:rsidP="0080677C">
      <w:pPr>
        <w:jc w:val="center"/>
        <w:rPr>
          <w:sz w:val="28"/>
          <w:szCs w:val="28"/>
        </w:rPr>
      </w:pPr>
      <w:r w:rsidRPr="00523E08">
        <w:rPr>
          <w:b/>
          <w:sz w:val="28"/>
          <w:szCs w:val="28"/>
          <w:u w:val="single"/>
        </w:rPr>
        <w:lastRenderedPageBreak/>
        <w:t>PROFESSIONA</w:t>
      </w:r>
      <w:r>
        <w:rPr>
          <w:b/>
          <w:sz w:val="28"/>
          <w:szCs w:val="28"/>
          <w:u w:val="single"/>
        </w:rPr>
        <w:t>L EXPERIENCE</w:t>
      </w:r>
    </w:p>
    <w:p w14:paraId="4EF2A50C" w14:textId="77777777" w:rsidR="00841496" w:rsidRDefault="00841496" w:rsidP="00737760"/>
    <w:p w14:paraId="7FB06613" w14:textId="77777777" w:rsidR="0080677C" w:rsidRDefault="0080677C" w:rsidP="0080677C">
      <w:pPr>
        <w:rPr>
          <w:b/>
        </w:rPr>
      </w:pPr>
      <w:r>
        <w:rPr>
          <w:b/>
        </w:rPr>
        <w:t>Trust Tree Legal, P.C.</w:t>
      </w:r>
      <w:r w:rsidRPr="003054BC">
        <w:rPr>
          <w:bCs/>
        </w:rPr>
        <w:t>,</w:t>
      </w:r>
      <w:r>
        <w:rPr>
          <w:b/>
        </w:rPr>
        <w:t xml:space="preserve"> </w:t>
      </w:r>
      <w:r>
        <w:t>Nashville, Tennessee</w:t>
      </w:r>
    </w:p>
    <w:p w14:paraId="2D48EFB9" w14:textId="77777777" w:rsidR="0080677C" w:rsidRDefault="0080677C" w:rsidP="0080677C">
      <w:r w:rsidRPr="00A9033E">
        <w:rPr>
          <w:bCs/>
          <w:i/>
          <w:iCs/>
        </w:rPr>
        <w:t>Consultant</w:t>
      </w:r>
      <w:r>
        <w:rPr>
          <w:bCs/>
        </w:rPr>
        <w:t xml:space="preserve">, </w:t>
      </w:r>
      <w:r w:rsidRPr="00DD3A2A">
        <w:t>S</w:t>
      </w:r>
      <w:r>
        <w:t>ummers</w:t>
      </w:r>
      <w:r w:rsidRPr="00DD3A2A">
        <w:t xml:space="preserve"> 201</w:t>
      </w:r>
      <w:r>
        <w:t>5</w:t>
      </w:r>
      <w:r w:rsidRPr="0049452E">
        <w:rPr>
          <w:bCs/>
          <w:color w:val="454545"/>
          <w:shd w:val="clear" w:color="auto" w:fill="FFFFFF"/>
        </w:rPr>
        <w:t>–</w:t>
      </w:r>
      <w:r>
        <w:t>2019</w:t>
      </w:r>
    </w:p>
    <w:p w14:paraId="622159C2" w14:textId="77777777" w:rsidR="0080677C" w:rsidRPr="00085108" w:rsidRDefault="0080677C" w:rsidP="0080677C">
      <w:pPr>
        <w:pStyle w:val="ListParagraph"/>
        <w:ind w:left="1080"/>
      </w:pPr>
    </w:p>
    <w:p w14:paraId="347D413E" w14:textId="77777777" w:rsidR="0080677C" w:rsidRDefault="0080677C" w:rsidP="0080677C">
      <w:r w:rsidRPr="00DD3A2A">
        <w:rPr>
          <w:b/>
        </w:rPr>
        <w:t>Stites &amp; Harbison, PLLC</w:t>
      </w:r>
      <w:r w:rsidRPr="003054BC">
        <w:rPr>
          <w:bCs/>
        </w:rPr>
        <w:t>,</w:t>
      </w:r>
      <w:r>
        <w:rPr>
          <w:b/>
        </w:rPr>
        <w:t xml:space="preserve"> </w:t>
      </w:r>
      <w:r>
        <w:t>Nashville, Tennessee</w:t>
      </w:r>
    </w:p>
    <w:p w14:paraId="443CB23A" w14:textId="77777777" w:rsidR="0080677C" w:rsidRDefault="0080677C" w:rsidP="0080677C">
      <w:r>
        <w:rPr>
          <w:i/>
          <w:iCs/>
        </w:rPr>
        <w:t>Associate</w:t>
      </w:r>
      <w:r>
        <w:t xml:space="preserve">, </w:t>
      </w:r>
      <w:r w:rsidRPr="00DD3A2A">
        <w:t>September 2010</w:t>
      </w:r>
      <w:r w:rsidRPr="0049452E">
        <w:rPr>
          <w:bCs/>
          <w:color w:val="454545"/>
          <w:shd w:val="clear" w:color="auto" w:fill="FFFFFF"/>
        </w:rPr>
        <w:t>–</w:t>
      </w:r>
      <w:r>
        <w:t>December 2014</w:t>
      </w:r>
    </w:p>
    <w:p w14:paraId="678E3894" w14:textId="77777777" w:rsidR="0080677C" w:rsidRDefault="0080677C" w:rsidP="0080677C">
      <w:pPr>
        <w:ind w:firstLine="720"/>
      </w:pPr>
    </w:p>
    <w:p w14:paraId="561D79FA" w14:textId="77777777" w:rsidR="0080677C" w:rsidRDefault="0080677C" w:rsidP="0080677C">
      <w:pPr>
        <w:ind w:right="720"/>
      </w:pPr>
      <w:r w:rsidRPr="00A9033E">
        <w:rPr>
          <w:b/>
          <w:bCs/>
        </w:rPr>
        <w:t>United States Court of Appeals for the Eighth Circuit</w:t>
      </w:r>
      <w:r>
        <w:t>, Kansas City, Missouri</w:t>
      </w:r>
    </w:p>
    <w:p w14:paraId="21F76FDA" w14:textId="20B58D60" w:rsidR="004739A2" w:rsidRDefault="0080677C" w:rsidP="00AE2BA1">
      <w:pPr>
        <w:ind w:right="720"/>
      </w:pPr>
      <w:r>
        <w:rPr>
          <w:i/>
          <w:iCs/>
        </w:rPr>
        <w:t>Law Clerk to the Honorable Duane Benton</w:t>
      </w:r>
      <w:r w:rsidRPr="003054BC">
        <w:rPr>
          <w:i/>
          <w:iCs/>
        </w:rPr>
        <w:t>,</w:t>
      </w:r>
      <w:r>
        <w:t xml:space="preserve"> </w:t>
      </w:r>
      <w:r w:rsidRPr="00DD3A2A">
        <w:t>August 2009</w:t>
      </w:r>
      <w:r w:rsidRPr="0049452E">
        <w:rPr>
          <w:bCs/>
          <w:color w:val="454545"/>
          <w:shd w:val="clear" w:color="auto" w:fill="FFFFFF"/>
        </w:rPr>
        <w:t>–</w:t>
      </w:r>
      <w:r w:rsidRPr="00DD3A2A">
        <w:t>August 2010</w:t>
      </w:r>
    </w:p>
    <w:p w14:paraId="573998EF" w14:textId="77777777" w:rsidR="00737760" w:rsidRDefault="00737760" w:rsidP="00AE2BA1">
      <w:pPr>
        <w:ind w:right="720"/>
      </w:pPr>
    </w:p>
    <w:p w14:paraId="4B4CB359" w14:textId="6E67DF89" w:rsidR="00A315D6" w:rsidRPr="00A315D6" w:rsidRDefault="00A315D6" w:rsidP="00A315D6">
      <w:pPr>
        <w:jc w:val="center"/>
        <w:rPr>
          <w:b/>
          <w:sz w:val="28"/>
          <w:szCs w:val="28"/>
          <w:u w:val="single"/>
        </w:rPr>
      </w:pPr>
      <w:r w:rsidRPr="00A315D6">
        <w:rPr>
          <w:b/>
          <w:sz w:val="28"/>
          <w:szCs w:val="28"/>
          <w:u w:val="single"/>
        </w:rPr>
        <w:t>SERVICE</w:t>
      </w:r>
    </w:p>
    <w:p w14:paraId="15666FB6" w14:textId="77777777" w:rsidR="00E8342A" w:rsidRDefault="00E8342A" w:rsidP="00592E3E">
      <w:pPr>
        <w:rPr>
          <w:bCs/>
        </w:rPr>
      </w:pPr>
    </w:p>
    <w:p w14:paraId="70B0171B" w14:textId="4CC60097" w:rsidR="00673B5A" w:rsidRPr="00673B5A" w:rsidRDefault="00673B5A" w:rsidP="00673B5A">
      <w:pPr>
        <w:rPr>
          <w:bCs/>
          <w:i/>
          <w:iCs/>
          <w:u w:val="single"/>
        </w:rPr>
      </w:pPr>
      <w:r w:rsidRPr="00673B5A">
        <w:rPr>
          <w:bCs/>
        </w:rPr>
        <w:t>Consulting Editor</w:t>
      </w:r>
      <w:r>
        <w:rPr>
          <w:bCs/>
          <w:smallCaps/>
        </w:rPr>
        <w:t xml:space="preserve">, </w:t>
      </w:r>
      <w:r w:rsidRPr="00673B5A">
        <w:rPr>
          <w:bCs/>
          <w:smallCaps/>
        </w:rPr>
        <w:t>Psychology, Public Policy, &amp; Law</w:t>
      </w:r>
    </w:p>
    <w:p w14:paraId="4F75AE64" w14:textId="77777777" w:rsidR="00673B5A" w:rsidRDefault="00673B5A" w:rsidP="00592E3E">
      <w:pPr>
        <w:rPr>
          <w:bCs/>
        </w:rPr>
      </w:pPr>
    </w:p>
    <w:p w14:paraId="25102752" w14:textId="2E834885" w:rsidR="00970A54" w:rsidRDefault="00E8342A" w:rsidP="00592E3E">
      <w:pPr>
        <w:rPr>
          <w:bCs/>
        </w:rPr>
      </w:pPr>
      <w:r>
        <w:rPr>
          <w:bCs/>
        </w:rPr>
        <w:t xml:space="preserve">Ad Hoc Referee / </w:t>
      </w:r>
      <w:r w:rsidR="00592E3E">
        <w:rPr>
          <w:bCs/>
        </w:rPr>
        <w:t>Peer Reviewer</w:t>
      </w:r>
      <w:r w:rsidR="00673B5A">
        <w:rPr>
          <w:bCs/>
        </w:rPr>
        <w:t>:</w:t>
      </w:r>
    </w:p>
    <w:p w14:paraId="43DAE7EC" w14:textId="66BADEDD" w:rsidR="00970A54" w:rsidRPr="007A2235" w:rsidRDefault="005900CE" w:rsidP="00BA1316">
      <w:pPr>
        <w:pStyle w:val="ListParagraph"/>
        <w:numPr>
          <w:ilvl w:val="0"/>
          <w:numId w:val="15"/>
        </w:numPr>
        <w:ind w:left="720"/>
        <w:rPr>
          <w:bCs/>
          <w:i/>
          <w:iCs/>
          <w:u w:val="single"/>
        </w:rPr>
      </w:pPr>
      <w:r w:rsidRPr="00970A54">
        <w:rPr>
          <w:bCs/>
          <w:smallCaps/>
        </w:rPr>
        <w:t>Northwestern</w:t>
      </w:r>
      <w:r w:rsidR="003E1C16" w:rsidRPr="00970A54">
        <w:rPr>
          <w:bCs/>
          <w:smallCaps/>
        </w:rPr>
        <w:t xml:space="preserve"> University</w:t>
      </w:r>
      <w:r w:rsidRPr="00970A54">
        <w:rPr>
          <w:bCs/>
          <w:smallCaps/>
        </w:rPr>
        <w:t xml:space="preserve"> Law Review</w:t>
      </w:r>
      <w:r w:rsidRPr="00970A54">
        <w:rPr>
          <w:bCs/>
        </w:rPr>
        <w:t xml:space="preserve"> (empirical issue)</w:t>
      </w:r>
    </w:p>
    <w:p w14:paraId="17D97830" w14:textId="78EA22B7" w:rsidR="007A2235" w:rsidRPr="007A2235" w:rsidRDefault="007A2235" w:rsidP="00BA1316">
      <w:pPr>
        <w:pStyle w:val="ListParagraph"/>
        <w:numPr>
          <w:ilvl w:val="0"/>
          <w:numId w:val="15"/>
        </w:numPr>
        <w:ind w:left="720"/>
        <w:rPr>
          <w:bCs/>
          <w:i/>
          <w:iCs/>
          <w:smallCaps/>
          <w:u w:val="single"/>
        </w:rPr>
      </w:pPr>
      <w:r w:rsidRPr="007A2235">
        <w:rPr>
          <w:bCs/>
          <w:smallCaps/>
        </w:rPr>
        <w:t>Oxford Journal of Legal Studies</w:t>
      </w:r>
    </w:p>
    <w:p w14:paraId="0F80789F" w14:textId="77777777" w:rsidR="00970A54" w:rsidRPr="00970A54" w:rsidRDefault="00592E3E" w:rsidP="00BA1316">
      <w:pPr>
        <w:pStyle w:val="ListParagraph"/>
        <w:numPr>
          <w:ilvl w:val="0"/>
          <w:numId w:val="15"/>
        </w:numPr>
        <w:ind w:left="720"/>
        <w:rPr>
          <w:bCs/>
          <w:i/>
          <w:iCs/>
          <w:u w:val="single"/>
        </w:rPr>
      </w:pPr>
      <w:r w:rsidRPr="00970A54">
        <w:rPr>
          <w:bCs/>
          <w:smallCaps/>
        </w:rPr>
        <w:t>Law &amp; Human Behavior</w:t>
      </w:r>
    </w:p>
    <w:p w14:paraId="24BA80A0" w14:textId="77777777" w:rsidR="00970A54" w:rsidRPr="00970A54" w:rsidRDefault="005900CE" w:rsidP="00BA1316">
      <w:pPr>
        <w:pStyle w:val="ListParagraph"/>
        <w:numPr>
          <w:ilvl w:val="0"/>
          <w:numId w:val="15"/>
        </w:numPr>
        <w:ind w:left="720"/>
        <w:rPr>
          <w:bCs/>
          <w:i/>
          <w:iCs/>
          <w:u w:val="single"/>
        </w:rPr>
      </w:pPr>
      <w:r w:rsidRPr="00970A54">
        <w:rPr>
          <w:bCs/>
          <w:smallCaps/>
        </w:rPr>
        <w:t>Journal of Experimental Psychology: General</w:t>
      </w:r>
    </w:p>
    <w:p w14:paraId="1F7C1912" w14:textId="77777777" w:rsidR="00970A54" w:rsidRPr="00970A54" w:rsidRDefault="00AB3269" w:rsidP="00BA1316">
      <w:pPr>
        <w:pStyle w:val="ListParagraph"/>
        <w:numPr>
          <w:ilvl w:val="0"/>
          <w:numId w:val="15"/>
        </w:numPr>
        <w:ind w:left="720"/>
        <w:rPr>
          <w:bCs/>
          <w:i/>
          <w:iCs/>
          <w:u w:val="single"/>
        </w:rPr>
      </w:pPr>
      <w:r w:rsidRPr="00970A54">
        <w:rPr>
          <w:bCs/>
          <w:smallCaps/>
        </w:rPr>
        <w:t>Applied Cognitive Psychology</w:t>
      </w:r>
    </w:p>
    <w:p w14:paraId="1C6E5148" w14:textId="77777777" w:rsidR="00562647" w:rsidRPr="00562647" w:rsidRDefault="00AB3269" w:rsidP="00BA1316">
      <w:pPr>
        <w:pStyle w:val="ListParagraph"/>
        <w:numPr>
          <w:ilvl w:val="0"/>
          <w:numId w:val="15"/>
        </w:numPr>
        <w:ind w:left="720"/>
        <w:rPr>
          <w:bCs/>
          <w:i/>
          <w:iCs/>
          <w:u w:val="single"/>
        </w:rPr>
      </w:pPr>
      <w:r w:rsidRPr="00970A54">
        <w:rPr>
          <w:bCs/>
          <w:smallCaps/>
        </w:rPr>
        <w:t>Journal of Applied Research in Memory and Cognition</w:t>
      </w:r>
    </w:p>
    <w:p w14:paraId="3FC8E142" w14:textId="3B2A4E6D" w:rsidR="00592E3E" w:rsidRPr="005D1547" w:rsidRDefault="00562647" w:rsidP="00BA1316">
      <w:pPr>
        <w:pStyle w:val="ListParagraph"/>
        <w:numPr>
          <w:ilvl w:val="0"/>
          <w:numId w:val="15"/>
        </w:numPr>
        <w:ind w:left="720"/>
        <w:rPr>
          <w:bCs/>
          <w:i/>
          <w:iCs/>
          <w:u w:val="single"/>
        </w:rPr>
      </w:pPr>
      <w:r>
        <w:rPr>
          <w:bCs/>
          <w:smallCaps/>
        </w:rPr>
        <w:t>Personality &amp; Social Psychology Bulletin</w:t>
      </w:r>
      <w:r w:rsidR="00AB3269" w:rsidRPr="00970A54">
        <w:rPr>
          <w:bCs/>
          <w:smallCaps/>
        </w:rPr>
        <w:t xml:space="preserve"> </w:t>
      </w:r>
    </w:p>
    <w:p w14:paraId="24F1A8BD" w14:textId="1B1BF110" w:rsidR="005D1547" w:rsidRPr="000830E3" w:rsidRDefault="005D1547" w:rsidP="00BA1316">
      <w:pPr>
        <w:pStyle w:val="ListParagraph"/>
        <w:numPr>
          <w:ilvl w:val="0"/>
          <w:numId w:val="15"/>
        </w:numPr>
        <w:ind w:left="720"/>
        <w:rPr>
          <w:bCs/>
          <w:i/>
          <w:iCs/>
          <w:u w:val="single"/>
        </w:rPr>
      </w:pPr>
      <w:r>
        <w:rPr>
          <w:bCs/>
          <w:smallCaps/>
        </w:rPr>
        <w:t>Technology, Mind, &amp; Behavior</w:t>
      </w:r>
    </w:p>
    <w:p w14:paraId="26D6CB31" w14:textId="77777777" w:rsidR="00E8342A" w:rsidRDefault="00E8342A" w:rsidP="0096266B">
      <w:pPr>
        <w:rPr>
          <w:bCs/>
        </w:rPr>
      </w:pPr>
    </w:p>
    <w:p w14:paraId="65B44C07" w14:textId="43EB1865" w:rsidR="00AE2BA1" w:rsidRDefault="00AE2BA1" w:rsidP="0096266B">
      <w:pPr>
        <w:rPr>
          <w:bCs/>
        </w:rPr>
      </w:pPr>
      <w:r>
        <w:rPr>
          <w:bCs/>
        </w:rPr>
        <w:t>American Association of Law Schools (AALS) Committee to Review Scholarly Papers for the 2026 Annual Meeting</w:t>
      </w:r>
    </w:p>
    <w:p w14:paraId="66218CAC" w14:textId="77777777" w:rsidR="00AE2BA1" w:rsidRDefault="00AE2BA1" w:rsidP="0096266B">
      <w:pPr>
        <w:rPr>
          <w:bCs/>
        </w:rPr>
      </w:pPr>
    </w:p>
    <w:p w14:paraId="2AA1DD1D" w14:textId="15D85237" w:rsidR="00592E3E" w:rsidRDefault="00592E3E" w:rsidP="0096266B">
      <w:pPr>
        <w:rPr>
          <w:bCs/>
        </w:rPr>
      </w:pPr>
      <w:r>
        <w:rPr>
          <w:bCs/>
        </w:rPr>
        <w:t>Board of Directors, McLennan County Dispute Resolution Center, January 2022-present</w:t>
      </w:r>
    </w:p>
    <w:p w14:paraId="0A7C0247" w14:textId="23024FB2" w:rsidR="00592E3E" w:rsidRDefault="00592E3E" w:rsidP="00BA1316">
      <w:pPr>
        <w:pStyle w:val="ListParagraph"/>
        <w:numPr>
          <w:ilvl w:val="0"/>
          <w:numId w:val="15"/>
        </w:numPr>
        <w:ind w:left="720"/>
        <w:rPr>
          <w:bCs/>
        </w:rPr>
      </w:pPr>
      <w:r w:rsidRPr="00E23BB2">
        <w:rPr>
          <w:bCs/>
        </w:rPr>
        <w:t>Secretary, September 2022-</w:t>
      </w:r>
      <w:r w:rsidR="00F77EDB">
        <w:rPr>
          <w:bCs/>
        </w:rPr>
        <w:t>September 2024</w:t>
      </w:r>
    </w:p>
    <w:p w14:paraId="75E7F989" w14:textId="1489AA4D" w:rsidR="00F77EDB" w:rsidRPr="00E23BB2" w:rsidRDefault="00F77EDB" w:rsidP="00BA1316">
      <w:pPr>
        <w:pStyle w:val="ListParagraph"/>
        <w:numPr>
          <w:ilvl w:val="0"/>
          <w:numId w:val="15"/>
        </w:numPr>
        <w:ind w:left="720"/>
        <w:rPr>
          <w:bCs/>
        </w:rPr>
      </w:pPr>
      <w:r>
        <w:rPr>
          <w:bCs/>
        </w:rPr>
        <w:t>Chairperson, October 2024-</w:t>
      </w:r>
    </w:p>
    <w:p w14:paraId="4C2017DB" w14:textId="77777777" w:rsidR="00E8342A" w:rsidRDefault="00E8342A" w:rsidP="00A315D6">
      <w:pPr>
        <w:rPr>
          <w:bCs/>
        </w:rPr>
      </w:pPr>
    </w:p>
    <w:p w14:paraId="324B1855" w14:textId="1BF25CAD" w:rsidR="00A315D6" w:rsidRDefault="00592E3E" w:rsidP="00A315D6">
      <w:pPr>
        <w:rPr>
          <w:bCs/>
        </w:rPr>
      </w:pPr>
      <w:r w:rsidRPr="00A315D6">
        <w:rPr>
          <w:bCs/>
        </w:rPr>
        <w:t>Girls</w:t>
      </w:r>
      <w:r>
        <w:rPr>
          <w:bCs/>
        </w:rPr>
        <w:t>’</w:t>
      </w:r>
      <w:r w:rsidRPr="00A315D6">
        <w:rPr>
          <w:bCs/>
        </w:rPr>
        <w:t xml:space="preserve"> Soccer Coach, </w:t>
      </w:r>
      <w:r w:rsidR="00A315D6" w:rsidRPr="00A315D6">
        <w:rPr>
          <w:bCs/>
        </w:rPr>
        <w:t xml:space="preserve">Heart of Texas Soccer Association, </w:t>
      </w:r>
      <w:r w:rsidR="006C7D88">
        <w:rPr>
          <w:bCs/>
        </w:rPr>
        <w:t>March 2022</w:t>
      </w:r>
      <w:r>
        <w:rPr>
          <w:bCs/>
        </w:rPr>
        <w:t>-</w:t>
      </w:r>
      <w:r w:rsidR="003F346B">
        <w:rPr>
          <w:bCs/>
        </w:rPr>
        <w:t>December 202</w:t>
      </w:r>
      <w:r w:rsidR="00714F59">
        <w:rPr>
          <w:bCs/>
        </w:rPr>
        <w:t>5</w:t>
      </w:r>
    </w:p>
    <w:p w14:paraId="67868B6B" w14:textId="77777777" w:rsidR="00584A31" w:rsidRDefault="00584A31" w:rsidP="00A315D6">
      <w:pPr>
        <w:rPr>
          <w:bCs/>
        </w:rPr>
      </w:pPr>
    </w:p>
    <w:p w14:paraId="1E39F347" w14:textId="7DA73FC3" w:rsidR="00584A31" w:rsidRDefault="00584A31" w:rsidP="00A315D6">
      <w:pPr>
        <w:rPr>
          <w:bCs/>
        </w:rPr>
      </w:pPr>
      <w:r>
        <w:rPr>
          <w:bCs/>
        </w:rPr>
        <w:t>Boys’ Soccer Coach, Heart of Texas Soccer Association, March 2024-</w:t>
      </w:r>
      <w:r w:rsidR="004F324E">
        <w:rPr>
          <w:bCs/>
        </w:rPr>
        <w:t>May 2025</w:t>
      </w:r>
    </w:p>
    <w:p w14:paraId="6275DAE3" w14:textId="77777777" w:rsidR="00E8342A" w:rsidRDefault="00E8342A" w:rsidP="0096266B">
      <w:pPr>
        <w:rPr>
          <w:bCs/>
        </w:rPr>
      </w:pPr>
    </w:p>
    <w:p w14:paraId="4C74C6A4" w14:textId="06400E6B" w:rsidR="00A315D6" w:rsidRDefault="00A315D6" w:rsidP="0096266B">
      <w:pPr>
        <w:rPr>
          <w:bCs/>
        </w:rPr>
      </w:pPr>
      <w:r>
        <w:rPr>
          <w:bCs/>
        </w:rPr>
        <w:t>Girls</w:t>
      </w:r>
      <w:r w:rsidR="00592E3E">
        <w:rPr>
          <w:bCs/>
        </w:rPr>
        <w:t>’</w:t>
      </w:r>
      <w:r>
        <w:rPr>
          <w:bCs/>
        </w:rPr>
        <w:t xml:space="preserve"> Futsal Coach, </w:t>
      </w:r>
      <w:r w:rsidR="00592E3E">
        <w:rPr>
          <w:bCs/>
        </w:rPr>
        <w:t xml:space="preserve">City of Waco Parks &amp; Recreation, </w:t>
      </w:r>
      <w:r w:rsidR="0076692A">
        <w:rPr>
          <w:bCs/>
        </w:rPr>
        <w:t xml:space="preserve">June-August </w:t>
      </w:r>
      <w:r w:rsidR="00592E3E">
        <w:rPr>
          <w:bCs/>
        </w:rPr>
        <w:t>2022</w:t>
      </w:r>
      <w:r w:rsidR="005900CE">
        <w:rPr>
          <w:bCs/>
        </w:rPr>
        <w:t>, 2023</w:t>
      </w:r>
    </w:p>
    <w:p w14:paraId="69649149" w14:textId="77777777" w:rsidR="00E8342A" w:rsidRDefault="00E8342A" w:rsidP="0096266B">
      <w:pPr>
        <w:rPr>
          <w:bCs/>
        </w:rPr>
      </w:pPr>
    </w:p>
    <w:p w14:paraId="1F99FBB5" w14:textId="5E5B2342" w:rsidR="005900CE" w:rsidRDefault="005900CE" w:rsidP="0096266B">
      <w:pPr>
        <w:rPr>
          <w:bCs/>
        </w:rPr>
      </w:pPr>
      <w:r>
        <w:rPr>
          <w:bCs/>
        </w:rPr>
        <w:t xml:space="preserve">Girls’ Indoor Soccer Coach, </w:t>
      </w:r>
      <w:proofErr w:type="spellStart"/>
      <w:r>
        <w:rPr>
          <w:bCs/>
        </w:rPr>
        <w:t>SoCo</w:t>
      </w:r>
      <w:proofErr w:type="spellEnd"/>
      <w:r>
        <w:rPr>
          <w:bCs/>
        </w:rPr>
        <w:t xml:space="preserve"> Soccer, January-February 2023, 2024</w:t>
      </w:r>
    </w:p>
    <w:p w14:paraId="1EF1443D" w14:textId="77777777" w:rsidR="00673B5A" w:rsidRDefault="00673B5A" w:rsidP="0096266B">
      <w:pPr>
        <w:rPr>
          <w:bCs/>
        </w:rPr>
      </w:pPr>
    </w:p>
    <w:sectPr w:rsidR="00673B5A" w:rsidSect="00636125">
      <w:footerReference w:type="even" r:id="rId34"/>
      <w:footerReference w:type="default" r:id="rId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380F" w14:textId="77777777" w:rsidR="00F676BE" w:rsidRDefault="00F676BE" w:rsidP="004A52C4">
      <w:r>
        <w:separator/>
      </w:r>
    </w:p>
  </w:endnote>
  <w:endnote w:type="continuationSeparator" w:id="0">
    <w:p w14:paraId="61DC9D63" w14:textId="77777777" w:rsidR="00F676BE" w:rsidRDefault="00F676BE" w:rsidP="004A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5652" w14:textId="77777777" w:rsidR="00F60F18" w:rsidRDefault="00F60F18" w:rsidP="00AE3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8B301B" w14:textId="77777777" w:rsidR="00F60F18" w:rsidRDefault="00F6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A78D" w14:textId="77777777" w:rsidR="00F60F18" w:rsidRDefault="00F60F18" w:rsidP="00AE3A76">
    <w:pPr>
      <w:pStyle w:val="Footer"/>
      <w:framePr w:wrap="around" w:vAnchor="text" w:hAnchor="margin" w:xAlign="center" w:y="1"/>
      <w:rPr>
        <w:rStyle w:val="PageNumber"/>
      </w:rPr>
    </w:pPr>
    <w:r>
      <w:rPr>
        <w:rStyle w:val="PageNumber"/>
      </w:rPr>
      <w:t xml:space="preserve">Jaeger </w:t>
    </w:r>
    <w:r>
      <w:rPr>
        <w:rStyle w:val="PageNumber"/>
      </w:rPr>
      <w:fldChar w:fldCharType="begin"/>
    </w:r>
    <w:r>
      <w:rPr>
        <w:rStyle w:val="PageNumber"/>
      </w:rPr>
      <w:instrText xml:space="preserve">PAGE  </w:instrText>
    </w:r>
    <w:r>
      <w:rPr>
        <w:rStyle w:val="PageNumber"/>
      </w:rPr>
      <w:fldChar w:fldCharType="separate"/>
    </w:r>
    <w:r w:rsidR="00B61756">
      <w:rPr>
        <w:rStyle w:val="PageNumber"/>
        <w:noProof/>
      </w:rPr>
      <w:t>3</w:t>
    </w:r>
    <w:r>
      <w:rPr>
        <w:rStyle w:val="PageNumber"/>
      </w:rPr>
      <w:fldChar w:fldCharType="end"/>
    </w:r>
  </w:p>
  <w:p w14:paraId="0CD3D5B8" w14:textId="77777777" w:rsidR="00F60F18" w:rsidRDefault="00F6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7A9B" w14:textId="77777777" w:rsidR="00F676BE" w:rsidRDefault="00F676BE" w:rsidP="004A52C4">
      <w:r>
        <w:separator/>
      </w:r>
    </w:p>
  </w:footnote>
  <w:footnote w:type="continuationSeparator" w:id="0">
    <w:p w14:paraId="4BFDB18D" w14:textId="77777777" w:rsidR="00F676BE" w:rsidRDefault="00F676BE" w:rsidP="004A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903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C251D"/>
    <w:multiLevelType w:val="hybridMultilevel"/>
    <w:tmpl w:val="EF02DE94"/>
    <w:lvl w:ilvl="0" w:tplc="8376CC3E">
      <w:start w:val="1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76902"/>
    <w:multiLevelType w:val="hybridMultilevel"/>
    <w:tmpl w:val="004E2786"/>
    <w:lvl w:ilvl="0" w:tplc="3FFE86AC">
      <w:numFmt w:val="bullet"/>
      <w:lvlText w:val=""/>
      <w:lvlJc w:val="left"/>
      <w:pPr>
        <w:ind w:left="1360" w:hanging="360"/>
      </w:pPr>
      <w:rPr>
        <w:rFonts w:ascii="Symbol" w:eastAsia="Times New Roman" w:hAnsi="Symbol" w:cs="Times New Roman" w:hint="default"/>
        <w:b/>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 w15:restartNumberingAfterBreak="0">
    <w:nsid w:val="093C6121"/>
    <w:multiLevelType w:val="hybridMultilevel"/>
    <w:tmpl w:val="3552F74C"/>
    <w:lvl w:ilvl="0" w:tplc="4920AF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A7085D"/>
    <w:multiLevelType w:val="hybridMultilevel"/>
    <w:tmpl w:val="BF9C55CA"/>
    <w:lvl w:ilvl="0" w:tplc="DDDCE7D6">
      <w:numFmt w:val="bullet"/>
      <w:lvlText w:val=""/>
      <w:lvlJc w:val="left"/>
      <w:pPr>
        <w:ind w:left="1000" w:hanging="360"/>
      </w:pPr>
      <w:rPr>
        <w:rFonts w:ascii="Symbol" w:eastAsia="Times New Roman" w:hAnsi="Symbol" w:cs="Times New Roman" w:hint="default"/>
        <w:b/>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 w15:restartNumberingAfterBreak="0">
    <w:nsid w:val="264268FD"/>
    <w:multiLevelType w:val="hybridMultilevel"/>
    <w:tmpl w:val="1E48042E"/>
    <w:lvl w:ilvl="0" w:tplc="B05C6B1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E13BF9"/>
    <w:multiLevelType w:val="hybridMultilevel"/>
    <w:tmpl w:val="6ED2F5FC"/>
    <w:lvl w:ilvl="0" w:tplc="29F033EC">
      <w:start w:val="573"/>
      <w:numFmt w:val="bullet"/>
      <w:lvlText w:val=""/>
      <w:lvlJc w:val="left"/>
      <w:pPr>
        <w:tabs>
          <w:tab w:val="num" w:pos="3240"/>
        </w:tabs>
        <w:ind w:left="3240" w:hanging="360"/>
      </w:pPr>
      <w:rPr>
        <w:rFonts w:ascii="Symbol" w:eastAsia="Times New Roman" w:hAnsi="Symbol"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2F2E3940"/>
    <w:multiLevelType w:val="hybridMultilevel"/>
    <w:tmpl w:val="66506EDC"/>
    <w:lvl w:ilvl="0" w:tplc="E56AB496">
      <w:start w:val="1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915CD"/>
    <w:multiLevelType w:val="hybridMultilevel"/>
    <w:tmpl w:val="2E780506"/>
    <w:lvl w:ilvl="0" w:tplc="E3FCD5D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B61A9C"/>
    <w:multiLevelType w:val="hybridMultilevel"/>
    <w:tmpl w:val="321A8634"/>
    <w:lvl w:ilvl="0" w:tplc="71EE1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F6F14"/>
    <w:multiLevelType w:val="hybridMultilevel"/>
    <w:tmpl w:val="9CCCC0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11E2B"/>
    <w:multiLevelType w:val="hybridMultilevel"/>
    <w:tmpl w:val="8D3005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E7CD1"/>
    <w:multiLevelType w:val="hybridMultilevel"/>
    <w:tmpl w:val="2F1E114A"/>
    <w:lvl w:ilvl="0" w:tplc="3398B5A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0B30FAE"/>
    <w:multiLevelType w:val="hybridMultilevel"/>
    <w:tmpl w:val="E36EB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C55C1F"/>
    <w:multiLevelType w:val="hybridMultilevel"/>
    <w:tmpl w:val="1E7E2C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F5658"/>
    <w:multiLevelType w:val="hybridMultilevel"/>
    <w:tmpl w:val="E0469D72"/>
    <w:lvl w:ilvl="0" w:tplc="04090001">
      <w:start w:val="234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B0BE6"/>
    <w:multiLevelType w:val="hybridMultilevel"/>
    <w:tmpl w:val="D6E0E4E8"/>
    <w:lvl w:ilvl="0" w:tplc="6708372A">
      <w:start w:val="573"/>
      <w:numFmt w:val="bullet"/>
      <w:lvlText w:val=""/>
      <w:lvlJc w:val="left"/>
      <w:pPr>
        <w:tabs>
          <w:tab w:val="num" w:pos="3240"/>
        </w:tabs>
        <w:ind w:left="3240" w:hanging="360"/>
      </w:pPr>
      <w:rPr>
        <w:rFonts w:ascii="Symbol" w:eastAsia="Times New Roman" w:hAnsi="Symbol" w:cs="Times New Roman"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67FE4948"/>
    <w:multiLevelType w:val="hybridMultilevel"/>
    <w:tmpl w:val="86AA8FE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123D0"/>
    <w:multiLevelType w:val="hybridMultilevel"/>
    <w:tmpl w:val="1566701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6D9964A4"/>
    <w:multiLevelType w:val="hybridMultilevel"/>
    <w:tmpl w:val="F762F4F8"/>
    <w:lvl w:ilvl="0" w:tplc="CA8E22F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D1332"/>
    <w:multiLevelType w:val="hybridMultilevel"/>
    <w:tmpl w:val="5DB2F230"/>
    <w:lvl w:ilvl="0" w:tplc="4EAA3D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05A1F"/>
    <w:multiLevelType w:val="hybridMultilevel"/>
    <w:tmpl w:val="6A5EF4EA"/>
    <w:lvl w:ilvl="0" w:tplc="DD8E0E7E">
      <w:start w:val="615"/>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79075B80"/>
    <w:multiLevelType w:val="hybridMultilevel"/>
    <w:tmpl w:val="2FD0B4A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79FA4542"/>
    <w:multiLevelType w:val="hybridMultilevel"/>
    <w:tmpl w:val="1BEED358"/>
    <w:lvl w:ilvl="0" w:tplc="193EE48A">
      <w:start w:val="1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DA21014"/>
    <w:multiLevelType w:val="hybridMultilevel"/>
    <w:tmpl w:val="5A9A52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75155">
    <w:abstractNumId w:val="16"/>
  </w:num>
  <w:num w:numId="2" w16cid:durableId="498695738">
    <w:abstractNumId w:val="16"/>
  </w:num>
  <w:num w:numId="3" w16cid:durableId="1588735758">
    <w:abstractNumId w:val="13"/>
  </w:num>
  <w:num w:numId="4" w16cid:durableId="178936183">
    <w:abstractNumId w:val="6"/>
  </w:num>
  <w:num w:numId="5" w16cid:durableId="832381176">
    <w:abstractNumId w:val="22"/>
  </w:num>
  <w:num w:numId="6" w16cid:durableId="433138323">
    <w:abstractNumId w:val="18"/>
  </w:num>
  <w:num w:numId="7" w16cid:durableId="426967348">
    <w:abstractNumId w:val="0"/>
  </w:num>
  <w:num w:numId="8" w16cid:durableId="255865588">
    <w:abstractNumId w:val="4"/>
  </w:num>
  <w:num w:numId="9" w16cid:durableId="2010982882">
    <w:abstractNumId w:val="2"/>
  </w:num>
  <w:num w:numId="10" w16cid:durableId="855849673">
    <w:abstractNumId w:val="7"/>
  </w:num>
  <w:num w:numId="11" w16cid:durableId="1899784889">
    <w:abstractNumId w:val="23"/>
  </w:num>
  <w:num w:numId="12" w16cid:durableId="1977904147">
    <w:abstractNumId w:val="1"/>
  </w:num>
  <w:num w:numId="13" w16cid:durableId="1189417137">
    <w:abstractNumId w:val="21"/>
  </w:num>
  <w:num w:numId="14" w16cid:durableId="2089110853">
    <w:abstractNumId w:val="12"/>
  </w:num>
  <w:num w:numId="15" w16cid:durableId="1164391160">
    <w:abstractNumId w:val="8"/>
  </w:num>
  <w:num w:numId="16" w16cid:durableId="908729769">
    <w:abstractNumId w:val="17"/>
  </w:num>
  <w:num w:numId="17" w16cid:durableId="584219563">
    <w:abstractNumId w:val="3"/>
  </w:num>
  <w:num w:numId="18" w16cid:durableId="2049985233">
    <w:abstractNumId w:val="9"/>
  </w:num>
  <w:num w:numId="19" w16cid:durableId="775173856">
    <w:abstractNumId w:val="19"/>
  </w:num>
  <w:num w:numId="20" w16cid:durableId="981688372">
    <w:abstractNumId w:val="5"/>
  </w:num>
  <w:num w:numId="21" w16cid:durableId="799568424">
    <w:abstractNumId w:val="24"/>
  </w:num>
  <w:num w:numId="22" w16cid:durableId="1796019935">
    <w:abstractNumId w:val="11"/>
  </w:num>
  <w:num w:numId="23" w16cid:durableId="658316347">
    <w:abstractNumId w:val="20"/>
  </w:num>
  <w:num w:numId="24" w16cid:durableId="376861722">
    <w:abstractNumId w:val="10"/>
  </w:num>
  <w:num w:numId="25" w16cid:durableId="989212330">
    <w:abstractNumId w:val="15"/>
  </w:num>
  <w:num w:numId="26" w16cid:durableId="1986934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OmitCM" w:val="0"/>
    <w:docVar w:name="85TrailerTime" w:val="0"/>
    <w:docVar w:name="85TrailerType" w:val="102"/>
    <w:docVar w:name="MPDocID" w:val="C:\Users\cjaeger\Desktop\CBJ\GS\Chris Jaeger CV.doc"/>
    <w:docVar w:name="MPDocIDTemplateDefault" w:val="%c:|%m:|%n:|%v:|%l"/>
    <w:docVar w:name="NewDocStampType" w:val="7"/>
  </w:docVars>
  <w:rsids>
    <w:rsidRoot w:val="004D7C69"/>
    <w:rsid w:val="00000121"/>
    <w:rsid w:val="00002293"/>
    <w:rsid w:val="00003360"/>
    <w:rsid w:val="000117CB"/>
    <w:rsid w:val="000126D1"/>
    <w:rsid w:val="000263C9"/>
    <w:rsid w:val="00030B77"/>
    <w:rsid w:val="00033983"/>
    <w:rsid w:val="00034D84"/>
    <w:rsid w:val="00040ACA"/>
    <w:rsid w:val="0004156E"/>
    <w:rsid w:val="0004202B"/>
    <w:rsid w:val="00042B74"/>
    <w:rsid w:val="00044759"/>
    <w:rsid w:val="00053C31"/>
    <w:rsid w:val="00056EC8"/>
    <w:rsid w:val="000651F4"/>
    <w:rsid w:val="00067608"/>
    <w:rsid w:val="000718DC"/>
    <w:rsid w:val="000735FC"/>
    <w:rsid w:val="0007517D"/>
    <w:rsid w:val="000830E3"/>
    <w:rsid w:val="00085108"/>
    <w:rsid w:val="0008772C"/>
    <w:rsid w:val="000917E1"/>
    <w:rsid w:val="00091926"/>
    <w:rsid w:val="00093077"/>
    <w:rsid w:val="00094195"/>
    <w:rsid w:val="000A4A2B"/>
    <w:rsid w:val="000B4708"/>
    <w:rsid w:val="000C0266"/>
    <w:rsid w:val="000C10C4"/>
    <w:rsid w:val="000C2C7F"/>
    <w:rsid w:val="000C41C3"/>
    <w:rsid w:val="000C4286"/>
    <w:rsid w:val="000C4DB6"/>
    <w:rsid w:val="000C7F13"/>
    <w:rsid w:val="000D0DD9"/>
    <w:rsid w:val="000D112B"/>
    <w:rsid w:val="000E1012"/>
    <w:rsid w:val="000E3351"/>
    <w:rsid w:val="000E502A"/>
    <w:rsid w:val="000E5BE8"/>
    <w:rsid w:val="000F0F57"/>
    <w:rsid w:val="000F1B47"/>
    <w:rsid w:val="00105367"/>
    <w:rsid w:val="00110784"/>
    <w:rsid w:val="001132F9"/>
    <w:rsid w:val="0012020D"/>
    <w:rsid w:val="00121720"/>
    <w:rsid w:val="00131134"/>
    <w:rsid w:val="00135518"/>
    <w:rsid w:val="00144346"/>
    <w:rsid w:val="00144532"/>
    <w:rsid w:val="001450E1"/>
    <w:rsid w:val="00151695"/>
    <w:rsid w:val="00154FBD"/>
    <w:rsid w:val="00164B21"/>
    <w:rsid w:val="00166006"/>
    <w:rsid w:val="00166802"/>
    <w:rsid w:val="00170288"/>
    <w:rsid w:val="00181A18"/>
    <w:rsid w:val="00182138"/>
    <w:rsid w:val="0018284F"/>
    <w:rsid w:val="00183062"/>
    <w:rsid w:val="00183743"/>
    <w:rsid w:val="00191179"/>
    <w:rsid w:val="00191FCB"/>
    <w:rsid w:val="00196328"/>
    <w:rsid w:val="001A0DB6"/>
    <w:rsid w:val="001A4C18"/>
    <w:rsid w:val="001A6634"/>
    <w:rsid w:val="001A70B5"/>
    <w:rsid w:val="001B0D87"/>
    <w:rsid w:val="001B1D18"/>
    <w:rsid w:val="001B64B2"/>
    <w:rsid w:val="001B788A"/>
    <w:rsid w:val="001C34DE"/>
    <w:rsid w:val="001C3C6A"/>
    <w:rsid w:val="001C6BE1"/>
    <w:rsid w:val="001D0C38"/>
    <w:rsid w:val="001D4719"/>
    <w:rsid w:val="001D52E5"/>
    <w:rsid w:val="001D626A"/>
    <w:rsid w:val="001D6819"/>
    <w:rsid w:val="001D6F44"/>
    <w:rsid w:val="001E278A"/>
    <w:rsid w:val="001E2A71"/>
    <w:rsid w:val="001E2B82"/>
    <w:rsid w:val="001F02A5"/>
    <w:rsid w:val="001F1F19"/>
    <w:rsid w:val="00201F1C"/>
    <w:rsid w:val="00205793"/>
    <w:rsid w:val="002118E1"/>
    <w:rsid w:val="002125E5"/>
    <w:rsid w:val="00214960"/>
    <w:rsid w:val="002153C4"/>
    <w:rsid w:val="00216A88"/>
    <w:rsid w:val="00223E29"/>
    <w:rsid w:val="00225130"/>
    <w:rsid w:val="00231FA1"/>
    <w:rsid w:val="0023748E"/>
    <w:rsid w:val="00243A1B"/>
    <w:rsid w:val="00243D14"/>
    <w:rsid w:val="00243E1C"/>
    <w:rsid w:val="00251106"/>
    <w:rsid w:val="00253F3E"/>
    <w:rsid w:val="002565CA"/>
    <w:rsid w:val="00257917"/>
    <w:rsid w:val="00263415"/>
    <w:rsid w:val="00270779"/>
    <w:rsid w:val="00284EB9"/>
    <w:rsid w:val="0029106C"/>
    <w:rsid w:val="0029296C"/>
    <w:rsid w:val="00294070"/>
    <w:rsid w:val="002959A2"/>
    <w:rsid w:val="002A1A99"/>
    <w:rsid w:val="002B2512"/>
    <w:rsid w:val="002B79B8"/>
    <w:rsid w:val="002C0C61"/>
    <w:rsid w:val="002C0E75"/>
    <w:rsid w:val="002D2C6B"/>
    <w:rsid w:val="002D38F5"/>
    <w:rsid w:val="002D55EA"/>
    <w:rsid w:val="002D5C81"/>
    <w:rsid w:val="002E187D"/>
    <w:rsid w:val="002E7A4D"/>
    <w:rsid w:val="002E7EF6"/>
    <w:rsid w:val="002F3352"/>
    <w:rsid w:val="00301861"/>
    <w:rsid w:val="003019C6"/>
    <w:rsid w:val="00305090"/>
    <w:rsid w:val="0031157F"/>
    <w:rsid w:val="0031332E"/>
    <w:rsid w:val="003209AF"/>
    <w:rsid w:val="00324A4A"/>
    <w:rsid w:val="00325C8A"/>
    <w:rsid w:val="00325FBE"/>
    <w:rsid w:val="0032796E"/>
    <w:rsid w:val="00335796"/>
    <w:rsid w:val="0034182C"/>
    <w:rsid w:val="00342672"/>
    <w:rsid w:val="00344265"/>
    <w:rsid w:val="00350FED"/>
    <w:rsid w:val="00352EE9"/>
    <w:rsid w:val="0035350E"/>
    <w:rsid w:val="00354B30"/>
    <w:rsid w:val="00356E5F"/>
    <w:rsid w:val="00357681"/>
    <w:rsid w:val="003609C8"/>
    <w:rsid w:val="00361F78"/>
    <w:rsid w:val="003679FD"/>
    <w:rsid w:val="00372D40"/>
    <w:rsid w:val="0037413D"/>
    <w:rsid w:val="00374BC7"/>
    <w:rsid w:val="00374BD0"/>
    <w:rsid w:val="003750F1"/>
    <w:rsid w:val="00383575"/>
    <w:rsid w:val="00387CE9"/>
    <w:rsid w:val="00390898"/>
    <w:rsid w:val="003952D8"/>
    <w:rsid w:val="003A1782"/>
    <w:rsid w:val="003A4481"/>
    <w:rsid w:val="003A57D3"/>
    <w:rsid w:val="003B2FC6"/>
    <w:rsid w:val="003B31EA"/>
    <w:rsid w:val="003B6865"/>
    <w:rsid w:val="003C14FF"/>
    <w:rsid w:val="003C25C0"/>
    <w:rsid w:val="003C3450"/>
    <w:rsid w:val="003C3E2D"/>
    <w:rsid w:val="003C4A28"/>
    <w:rsid w:val="003C5D98"/>
    <w:rsid w:val="003C690A"/>
    <w:rsid w:val="003D00FA"/>
    <w:rsid w:val="003D0B2C"/>
    <w:rsid w:val="003D2489"/>
    <w:rsid w:val="003E1C16"/>
    <w:rsid w:val="003E42ED"/>
    <w:rsid w:val="003E63E5"/>
    <w:rsid w:val="003E66ED"/>
    <w:rsid w:val="003E72B7"/>
    <w:rsid w:val="003F346B"/>
    <w:rsid w:val="0040193D"/>
    <w:rsid w:val="0040456B"/>
    <w:rsid w:val="004055FB"/>
    <w:rsid w:val="00406B00"/>
    <w:rsid w:val="0040759B"/>
    <w:rsid w:val="00412EBD"/>
    <w:rsid w:val="00415F64"/>
    <w:rsid w:val="00416E0F"/>
    <w:rsid w:val="004227FA"/>
    <w:rsid w:val="00423DA9"/>
    <w:rsid w:val="004256DE"/>
    <w:rsid w:val="00427D97"/>
    <w:rsid w:val="00430168"/>
    <w:rsid w:val="00432AEA"/>
    <w:rsid w:val="0043735E"/>
    <w:rsid w:val="0044455E"/>
    <w:rsid w:val="00447C09"/>
    <w:rsid w:val="004518F1"/>
    <w:rsid w:val="00451E74"/>
    <w:rsid w:val="00453ACA"/>
    <w:rsid w:val="004560AB"/>
    <w:rsid w:val="0045654B"/>
    <w:rsid w:val="0046465D"/>
    <w:rsid w:val="004739A2"/>
    <w:rsid w:val="00476A88"/>
    <w:rsid w:val="00477D3B"/>
    <w:rsid w:val="004919B4"/>
    <w:rsid w:val="00492756"/>
    <w:rsid w:val="00493A38"/>
    <w:rsid w:val="00493C10"/>
    <w:rsid w:val="0049452E"/>
    <w:rsid w:val="004A0299"/>
    <w:rsid w:val="004A52C4"/>
    <w:rsid w:val="004A7A7B"/>
    <w:rsid w:val="004B08E3"/>
    <w:rsid w:val="004B146E"/>
    <w:rsid w:val="004B2466"/>
    <w:rsid w:val="004B3F5E"/>
    <w:rsid w:val="004C0C8B"/>
    <w:rsid w:val="004C2ECF"/>
    <w:rsid w:val="004C3C6F"/>
    <w:rsid w:val="004C457A"/>
    <w:rsid w:val="004D7C69"/>
    <w:rsid w:val="004E5FE9"/>
    <w:rsid w:val="004E76E0"/>
    <w:rsid w:val="004F02EA"/>
    <w:rsid w:val="004F1769"/>
    <w:rsid w:val="004F324E"/>
    <w:rsid w:val="004F530A"/>
    <w:rsid w:val="004F733F"/>
    <w:rsid w:val="004F7681"/>
    <w:rsid w:val="005015A5"/>
    <w:rsid w:val="00506203"/>
    <w:rsid w:val="005062C5"/>
    <w:rsid w:val="00506EF6"/>
    <w:rsid w:val="00510176"/>
    <w:rsid w:val="005119BA"/>
    <w:rsid w:val="005156AD"/>
    <w:rsid w:val="0051745A"/>
    <w:rsid w:val="00521298"/>
    <w:rsid w:val="00522A37"/>
    <w:rsid w:val="00523E08"/>
    <w:rsid w:val="00534B40"/>
    <w:rsid w:val="00535007"/>
    <w:rsid w:val="0053772B"/>
    <w:rsid w:val="00546C16"/>
    <w:rsid w:val="0054701C"/>
    <w:rsid w:val="00555C63"/>
    <w:rsid w:val="005579FE"/>
    <w:rsid w:val="00562647"/>
    <w:rsid w:val="0056290F"/>
    <w:rsid w:val="005629AA"/>
    <w:rsid w:val="00564EDE"/>
    <w:rsid w:val="005677C4"/>
    <w:rsid w:val="00571A35"/>
    <w:rsid w:val="0057343D"/>
    <w:rsid w:val="005754BE"/>
    <w:rsid w:val="005801CF"/>
    <w:rsid w:val="005803A0"/>
    <w:rsid w:val="005818CD"/>
    <w:rsid w:val="00583FEA"/>
    <w:rsid w:val="00584A31"/>
    <w:rsid w:val="005900CE"/>
    <w:rsid w:val="00590439"/>
    <w:rsid w:val="005917B6"/>
    <w:rsid w:val="00592E3E"/>
    <w:rsid w:val="00593690"/>
    <w:rsid w:val="00593907"/>
    <w:rsid w:val="0059545F"/>
    <w:rsid w:val="0059764F"/>
    <w:rsid w:val="005A1856"/>
    <w:rsid w:val="005A1A74"/>
    <w:rsid w:val="005A2C5C"/>
    <w:rsid w:val="005A505A"/>
    <w:rsid w:val="005B7A9D"/>
    <w:rsid w:val="005D1547"/>
    <w:rsid w:val="005D4D0F"/>
    <w:rsid w:val="005D7336"/>
    <w:rsid w:val="005D7817"/>
    <w:rsid w:val="005F5C66"/>
    <w:rsid w:val="0060144E"/>
    <w:rsid w:val="006029AF"/>
    <w:rsid w:val="00604F6E"/>
    <w:rsid w:val="0060520A"/>
    <w:rsid w:val="00613D8A"/>
    <w:rsid w:val="0061742F"/>
    <w:rsid w:val="0062507B"/>
    <w:rsid w:val="00636125"/>
    <w:rsid w:val="00637437"/>
    <w:rsid w:val="006416B8"/>
    <w:rsid w:val="00642337"/>
    <w:rsid w:val="00642429"/>
    <w:rsid w:val="006431A1"/>
    <w:rsid w:val="006475A0"/>
    <w:rsid w:val="006546BB"/>
    <w:rsid w:val="00657FF6"/>
    <w:rsid w:val="006601F3"/>
    <w:rsid w:val="0066224C"/>
    <w:rsid w:val="00662BF5"/>
    <w:rsid w:val="00662C5C"/>
    <w:rsid w:val="006675FE"/>
    <w:rsid w:val="006676F9"/>
    <w:rsid w:val="0067362A"/>
    <w:rsid w:val="00673B5A"/>
    <w:rsid w:val="00680ED7"/>
    <w:rsid w:val="00687E29"/>
    <w:rsid w:val="006A134C"/>
    <w:rsid w:val="006A2F88"/>
    <w:rsid w:val="006A795F"/>
    <w:rsid w:val="006B1052"/>
    <w:rsid w:val="006B2509"/>
    <w:rsid w:val="006B40A1"/>
    <w:rsid w:val="006B5576"/>
    <w:rsid w:val="006C088A"/>
    <w:rsid w:val="006C0AEF"/>
    <w:rsid w:val="006C7D88"/>
    <w:rsid w:val="006D0FF2"/>
    <w:rsid w:val="006D2797"/>
    <w:rsid w:val="006D3419"/>
    <w:rsid w:val="006D4C08"/>
    <w:rsid w:val="006E21A9"/>
    <w:rsid w:val="006E2E29"/>
    <w:rsid w:val="006E34B0"/>
    <w:rsid w:val="006E4642"/>
    <w:rsid w:val="006E525F"/>
    <w:rsid w:val="006E66AF"/>
    <w:rsid w:val="006F2EF8"/>
    <w:rsid w:val="006F3174"/>
    <w:rsid w:val="006F4278"/>
    <w:rsid w:val="006F505A"/>
    <w:rsid w:val="006F58BB"/>
    <w:rsid w:val="006F69C5"/>
    <w:rsid w:val="00700141"/>
    <w:rsid w:val="00700E7E"/>
    <w:rsid w:val="00702CB8"/>
    <w:rsid w:val="00704FBE"/>
    <w:rsid w:val="00705966"/>
    <w:rsid w:val="00707B0B"/>
    <w:rsid w:val="00710C12"/>
    <w:rsid w:val="00712679"/>
    <w:rsid w:val="00714F59"/>
    <w:rsid w:val="00721C45"/>
    <w:rsid w:val="00724282"/>
    <w:rsid w:val="007243D4"/>
    <w:rsid w:val="00735143"/>
    <w:rsid w:val="00737760"/>
    <w:rsid w:val="00737907"/>
    <w:rsid w:val="00742F39"/>
    <w:rsid w:val="007440FA"/>
    <w:rsid w:val="00752BFC"/>
    <w:rsid w:val="00753CF2"/>
    <w:rsid w:val="007554B3"/>
    <w:rsid w:val="0076692A"/>
    <w:rsid w:val="0077163B"/>
    <w:rsid w:val="00771C79"/>
    <w:rsid w:val="007767EB"/>
    <w:rsid w:val="00781905"/>
    <w:rsid w:val="007824D2"/>
    <w:rsid w:val="00783635"/>
    <w:rsid w:val="00785CC2"/>
    <w:rsid w:val="00791DF6"/>
    <w:rsid w:val="007A0EBC"/>
    <w:rsid w:val="007A1E50"/>
    <w:rsid w:val="007A21D3"/>
    <w:rsid w:val="007A2235"/>
    <w:rsid w:val="007A2602"/>
    <w:rsid w:val="007A5DDE"/>
    <w:rsid w:val="007B1FBC"/>
    <w:rsid w:val="007B2CF3"/>
    <w:rsid w:val="007B3406"/>
    <w:rsid w:val="007B4040"/>
    <w:rsid w:val="007B697E"/>
    <w:rsid w:val="007C356D"/>
    <w:rsid w:val="007D41F1"/>
    <w:rsid w:val="007D455E"/>
    <w:rsid w:val="007D71FE"/>
    <w:rsid w:val="007E1D2A"/>
    <w:rsid w:val="007E3926"/>
    <w:rsid w:val="007E5BD1"/>
    <w:rsid w:val="007F094A"/>
    <w:rsid w:val="007F1086"/>
    <w:rsid w:val="007F35C2"/>
    <w:rsid w:val="00800A07"/>
    <w:rsid w:val="008023C1"/>
    <w:rsid w:val="00802C91"/>
    <w:rsid w:val="00806414"/>
    <w:rsid w:val="0080677C"/>
    <w:rsid w:val="0081032C"/>
    <w:rsid w:val="00813BA6"/>
    <w:rsid w:val="008150BC"/>
    <w:rsid w:val="008204AA"/>
    <w:rsid w:val="00821994"/>
    <w:rsid w:val="00821E45"/>
    <w:rsid w:val="008225A0"/>
    <w:rsid w:val="008260A6"/>
    <w:rsid w:val="008268E0"/>
    <w:rsid w:val="00836020"/>
    <w:rsid w:val="008378DE"/>
    <w:rsid w:val="00837DDD"/>
    <w:rsid w:val="00841352"/>
    <w:rsid w:val="00841496"/>
    <w:rsid w:val="00843912"/>
    <w:rsid w:val="0084412A"/>
    <w:rsid w:val="0084712A"/>
    <w:rsid w:val="008478E0"/>
    <w:rsid w:val="008501F9"/>
    <w:rsid w:val="00850FB1"/>
    <w:rsid w:val="00852108"/>
    <w:rsid w:val="00853C55"/>
    <w:rsid w:val="008555ED"/>
    <w:rsid w:val="00856029"/>
    <w:rsid w:val="0086170D"/>
    <w:rsid w:val="008645B9"/>
    <w:rsid w:val="00872D8D"/>
    <w:rsid w:val="008734DA"/>
    <w:rsid w:val="008745E7"/>
    <w:rsid w:val="008754EA"/>
    <w:rsid w:val="00877861"/>
    <w:rsid w:val="00880D30"/>
    <w:rsid w:val="00881881"/>
    <w:rsid w:val="00882187"/>
    <w:rsid w:val="00882D67"/>
    <w:rsid w:val="0088631D"/>
    <w:rsid w:val="00890712"/>
    <w:rsid w:val="00897FD1"/>
    <w:rsid w:val="008A0AC2"/>
    <w:rsid w:val="008A0D16"/>
    <w:rsid w:val="008A2373"/>
    <w:rsid w:val="008A3A1F"/>
    <w:rsid w:val="008A6304"/>
    <w:rsid w:val="008A73B2"/>
    <w:rsid w:val="008B6788"/>
    <w:rsid w:val="008C0905"/>
    <w:rsid w:val="008C3B49"/>
    <w:rsid w:val="008C3D92"/>
    <w:rsid w:val="008C6937"/>
    <w:rsid w:val="008D146D"/>
    <w:rsid w:val="008D4F4E"/>
    <w:rsid w:val="008D6AC6"/>
    <w:rsid w:val="008D7CCF"/>
    <w:rsid w:val="008E03C8"/>
    <w:rsid w:val="008E0D9B"/>
    <w:rsid w:val="008E1B8B"/>
    <w:rsid w:val="008E1E23"/>
    <w:rsid w:val="008E2AAD"/>
    <w:rsid w:val="008F0BDB"/>
    <w:rsid w:val="008F1009"/>
    <w:rsid w:val="008F2D87"/>
    <w:rsid w:val="00901043"/>
    <w:rsid w:val="009010A1"/>
    <w:rsid w:val="009039EA"/>
    <w:rsid w:val="00903C3B"/>
    <w:rsid w:val="00904ECB"/>
    <w:rsid w:val="009142DF"/>
    <w:rsid w:val="00917321"/>
    <w:rsid w:val="009179F9"/>
    <w:rsid w:val="009221AF"/>
    <w:rsid w:val="00924412"/>
    <w:rsid w:val="00943636"/>
    <w:rsid w:val="00953170"/>
    <w:rsid w:val="00954E0E"/>
    <w:rsid w:val="009559D2"/>
    <w:rsid w:val="00956416"/>
    <w:rsid w:val="00957AB9"/>
    <w:rsid w:val="00960EE1"/>
    <w:rsid w:val="0096266B"/>
    <w:rsid w:val="00963311"/>
    <w:rsid w:val="00964CBC"/>
    <w:rsid w:val="00965A9D"/>
    <w:rsid w:val="00970A54"/>
    <w:rsid w:val="00972322"/>
    <w:rsid w:val="00975155"/>
    <w:rsid w:val="009772CA"/>
    <w:rsid w:val="00990BB6"/>
    <w:rsid w:val="00990CE2"/>
    <w:rsid w:val="009945CA"/>
    <w:rsid w:val="00994BA2"/>
    <w:rsid w:val="00996FC4"/>
    <w:rsid w:val="009A31CF"/>
    <w:rsid w:val="009A749A"/>
    <w:rsid w:val="009B3BC9"/>
    <w:rsid w:val="009B5F86"/>
    <w:rsid w:val="009C034C"/>
    <w:rsid w:val="009C4C9E"/>
    <w:rsid w:val="009C4D7B"/>
    <w:rsid w:val="009C74E2"/>
    <w:rsid w:val="009D602B"/>
    <w:rsid w:val="009D6FA7"/>
    <w:rsid w:val="009E4581"/>
    <w:rsid w:val="009E6D63"/>
    <w:rsid w:val="009E6E78"/>
    <w:rsid w:val="009F0D0B"/>
    <w:rsid w:val="009F10B1"/>
    <w:rsid w:val="009F4664"/>
    <w:rsid w:val="009F7F33"/>
    <w:rsid w:val="00A017D1"/>
    <w:rsid w:val="00A02543"/>
    <w:rsid w:val="00A036AD"/>
    <w:rsid w:val="00A059CD"/>
    <w:rsid w:val="00A315D6"/>
    <w:rsid w:val="00A32982"/>
    <w:rsid w:val="00A354F7"/>
    <w:rsid w:val="00A361D7"/>
    <w:rsid w:val="00A37C53"/>
    <w:rsid w:val="00A42181"/>
    <w:rsid w:val="00A51304"/>
    <w:rsid w:val="00A52403"/>
    <w:rsid w:val="00A52779"/>
    <w:rsid w:val="00A6010E"/>
    <w:rsid w:val="00A618D4"/>
    <w:rsid w:val="00A660C0"/>
    <w:rsid w:val="00A66CE5"/>
    <w:rsid w:val="00A734D3"/>
    <w:rsid w:val="00A73602"/>
    <w:rsid w:val="00A73CBA"/>
    <w:rsid w:val="00A7466A"/>
    <w:rsid w:val="00A818F5"/>
    <w:rsid w:val="00A8201F"/>
    <w:rsid w:val="00A85FFD"/>
    <w:rsid w:val="00A8617E"/>
    <w:rsid w:val="00A87E36"/>
    <w:rsid w:val="00A93F1D"/>
    <w:rsid w:val="00A9573C"/>
    <w:rsid w:val="00AA044C"/>
    <w:rsid w:val="00AA3946"/>
    <w:rsid w:val="00AA5F6F"/>
    <w:rsid w:val="00AA736E"/>
    <w:rsid w:val="00AB10A9"/>
    <w:rsid w:val="00AB2445"/>
    <w:rsid w:val="00AB3269"/>
    <w:rsid w:val="00AB3FCE"/>
    <w:rsid w:val="00AB501A"/>
    <w:rsid w:val="00AB5D95"/>
    <w:rsid w:val="00AB7B18"/>
    <w:rsid w:val="00AC172D"/>
    <w:rsid w:val="00AC3996"/>
    <w:rsid w:val="00AC58E7"/>
    <w:rsid w:val="00AC6460"/>
    <w:rsid w:val="00AD1AD6"/>
    <w:rsid w:val="00AD688D"/>
    <w:rsid w:val="00AE1DE9"/>
    <w:rsid w:val="00AE2BA1"/>
    <w:rsid w:val="00AE3A76"/>
    <w:rsid w:val="00AE7D24"/>
    <w:rsid w:val="00AE7DFA"/>
    <w:rsid w:val="00AF3068"/>
    <w:rsid w:val="00AF3413"/>
    <w:rsid w:val="00AF3646"/>
    <w:rsid w:val="00AF4266"/>
    <w:rsid w:val="00AF4DD0"/>
    <w:rsid w:val="00AF5516"/>
    <w:rsid w:val="00AF66B0"/>
    <w:rsid w:val="00AF69DC"/>
    <w:rsid w:val="00B01077"/>
    <w:rsid w:val="00B0275C"/>
    <w:rsid w:val="00B02E1A"/>
    <w:rsid w:val="00B05AE2"/>
    <w:rsid w:val="00B07927"/>
    <w:rsid w:val="00B10638"/>
    <w:rsid w:val="00B12886"/>
    <w:rsid w:val="00B1468E"/>
    <w:rsid w:val="00B16B5A"/>
    <w:rsid w:val="00B20784"/>
    <w:rsid w:val="00B264EE"/>
    <w:rsid w:val="00B27344"/>
    <w:rsid w:val="00B2769A"/>
    <w:rsid w:val="00B316D3"/>
    <w:rsid w:val="00B32C42"/>
    <w:rsid w:val="00B331A9"/>
    <w:rsid w:val="00B41221"/>
    <w:rsid w:val="00B41277"/>
    <w:rsid w:val="00B43177"/>
    <w:rsid w:val="00B51DB6"/>
    <w:rsid w:val="00B51F67"/>
    <w:rsid w:val="00B543AC"/>
    <w:rsid w:val="00B5527E"/>
    <w:rsid w:val="00B55404"/>
    <w:rsid w:val="00B61756"/>
    <w:rsid w:val="00B65641"/>
    <w:rsid w:val="00B6669C"/>
    <w:rsid w:val="00B6760A"/>
    <w:rsid w:val="00B70A09"/>
    <w:rsid w:val="00B73B37"/>
    <w:rsid w:val="00B74D71"/>
    <w:rsid w:val="00B750F8"/>
    <w:rsid w:val="00B76BCE"/>
    <w:rsid w:val="00B7723D"/>
    <w:rsid w:val="00B7734E"/>
    <w:rsid w:val="00B86082"/>
    <w:rsid w:val="00B91DD9"/>
    <w:rsid w:val="00B92AEE"/>
    <w:rsid w:val="00B94355"/>
    <w:rsid w:val="00B961E2"/>
    <w:rsid w:val="00B96922"/>
    <w:rsid w:val="00B974F7"/>
    <w:rsid w:val="00B97955"/>
    <w:rsid w:val="00BA1316"/>
    <w:rsid w:val="00BA47BA"/>
    <w:rsid w:val="00BA4DC4"/>
    <w:rsid w:val="00BA7662"/>
    <w:rsid w:val="00BC0E4D"/>
    <w:rsid w:val="00BC2C9C"/>
    <w:rsid w:val="00BC55C9"/>
    <w:rsid w:val="00BD4080"/>
    <w:rsid w:val="00BD45AF"/>
    <w:rsid w:val="00BD51CA"/>
    <w:rsid w:val="00BD679B"/>
    <w:rsid w:val="00BE196D"/>
    <w:rsid w:val="00BE2377"/>
    <w:rsid w:val="00BE24B3"/>
    <w:rsid w:val="00BF16EC"/>
    <w:rsid w:val="00BF17CE"/>
    <w:rsid w:val="00BF21CD"/>
    <w:rsid w:val="00BF2419"/>
    <w:rsid w:val="00BF29F3"/>
    <w:rsid w:val="00BF684D"/>
    <w:rsid w:val="00BF7F0C"/>
    <w:rsid w:val="00C04CDB"/>
    <w:rsid w:val="00C06B00"/>
    <w:rsid w:val="00C12990"/>
    <w:rsid w:val="00C12E56"/>
    <w:rsid w:val="00C15E1B"/>
    <w:rsid w:val="00C17A88"/>
    <w:rsid w:val="00C229E6"/>
    <w:rsid w:val="00C2397F"/>
    <w:rsid w:val="00C24E7A"/>
    <w:rsid w:val="00C278C8"/>
    <w:rsid w:val="00C31EBA"/>
    <w:rsid w:val="00C42823"/>
    <w:rsid w:val="00C51AFB"/>
    <w:rsid w:val="00C52898"/>
    <w:rsid w:val="00C52BCF"/>
    <w:rsid w:val="00C53754"/>
    <w:rsid w:val="00C64893"/>
    <w:rsid w:val="00C734EE"/>
    <w:rsid w:val="00C8242D"/>
    <w:rsid w:val="00C825E8"/>
    <w:rsid w:val="00C8290A"/>
    <w:rsid w:val="00C93D45"/>
    <w:rsid w:val="00C9739E"/>
    <w:rsid w:val="00CA055E"/>
    <w:rsid w:val="00CA550D"/>
    <w:rsid w:val="00CA7ECA"/>
    <w:rsid w:val="00CB0466"/>
    <w:rsid w:val="00CB132F"/>
    <w:rsid w:val="00CB1D39"/>
    <w:rsid w:val="00CB476E"/>
    <w:rsid w:val="00CB49A9"/>
    <w:rsid w:val="00CB73E0"/>
    <w:rsid w:val="00CC48D8"/>
    <w:rsid w:val="00CC5A49"/>
    <w:rsid w:val="00CC610E"/>
    <w:rsid w:val="00CD3953"/>
    <w:rsid w:val="00CD3B05"/>
    <w:rsid w:val="00CD4657"/>
    <w:rsid w:val="00CD6D3D"/>
    <w:rsid w:val="00CE0A32"/>
    <w:rsid w:val="00CE1856"/>
    <w:rsid w:val="00CE675E"/>
    <w:rsid w:val="00CF192D"/>
    <w:rsid w:val="00CF2C3D"/>
    <w:rsid w:val="00CF647B"/>
    <w:rsid w:val="00D00E08"/>
    <w:rsid w:val="00D04797"/>
    <w:rsid w:val="00D055ED"/>
    <w:rsid w:val="00D060E0"/>
    <w:rsid w:val="00D11DBD"/>
    <w:rsid w:val="00D134FB"/>
    <w:rsid w:val="00D15CA7"/>
    <w:rsid w:val="00D16D2B"/>
    <w:rsid w:val="00D2286A"/>
    <w:rsid w:val="00D2375E"/>
    <w:rsid w:val="00D259AC"/>
    <w:rsid w:val="00D308A2"/>
    <w:rsid w:val="00D32F1C"/>
    <w:rsid w:val="00D359D4"/>
    <w:rsid w:val="00D3705B"/>
    <w:rsid w:val="00D457EC"/>
    <w:rsid w:val="00D45C36"/>
    <w:rsid w:val="00D47A24"/>
    <w:rsid w:val="00D47A79"/>
    <w:rsid w:val="00D47AF3"/>
    <w:rsid w:val="00D50F16"/>
    <w:rsid w:val="00D52CD8"/>
    <w:rsid w:val="00D538E9"/>
    <w:rsid w:val="00D54AE0"/>
    <w:rsid w:val="00D56472"/>
    <w:rsid w:val="00D56649"/>
    <w:rsid w:val="00D57635"/>
    <w:rsid w:val="00D62486"/>
    <w:rsid w:val="00D64CCE"/>
    <w:rsid w:val="00D7078D"/>
    <w:rsid w:val="00D73220"/>
    <w:rsid w:val="00D73A97"/>
    <w:rsid w:val="00D73E5F"/>
    <w:rsid w:val="00D749EC"/>
    <w:rsid w:val="00D7695A"/>
    <w:rsid w:val="00D77415"/>
    <w:rsid w:val="00D8080D"/>
    <w:rsid w:val="00D80D86"/>
    <w:rsid w:val="00D814CC"/>
    <w:rsid w:val="00D921AD"/>
    <w:rsid w:val="00D928B4"/>
    <w:rsid w:val="00D93A44"/>
    <w:rsid w:val="00DA076E"/>
    <w:rsid w:val="00DA0794"/>
    <w:rsid w:val="00DB2193"/>
    <w:rsid w:val="00DB2AC7"/>
    <w:rsid w:val="00DB34B9"/>
    <w:rsid w:val="00DC2158"/>
    <w:rsid w:val="00DC4413"/>
    <w:rsid w:val="00DD2E99"/>
    <w:rsid w:val="00DD3A2A"/>
    <w:rsid w:val="00DD7463"/>
    <w:rsid w:val="00DE07CB"/>
    <w:rsid w:val="00DE19CA"/>
    <w:rsid w:val="00DE1C45"/>
    <w:rsid w:val="00DE4EB9"/>
    <w:rsid w:val="00DE5B71"/>
    <w:rsid w:val="00DF59FD"/>
    <w:rsid w:val="00DF78A9"/>
    <w:rsid w:val="00DF798D"/>
    <w:rsid w:val="00E00F0F"/>
    <w:rsid w:val="00E025E5"/>
    <w:rsid w:val="00E028E8"/>
    <w:rsid w:val="00E11C39"/>
    <w:rsid w:val="00E11D9F"/>
    <w:rsid w:val="00E15CD0"/>
    <w:rsid w:val="00E17C13"/>
    <w:rsid w:val="00E21B2E"/>
    <w:rsid w:val="00E23BB2"/>
    <w:rsid w:val="00E246E1"/>
    <w:rsid w:val="00E24785"/>
    <w:rsid w:val="00E279BC"/>
    <w:rsid w:val="00E32B5A"/>
    <w:rsid w:val="00E51CED"/>
    <w:rsid w:val="00E51FF3"/>
    <w:rsid w:val="00E67CCC"/>
    <w:rsid w:val="00E718D3"/>
    <w:rsid w:val="00E76360"/>
    <w:rsid w:val="00E77646"/>
    <w:rsid w:val="00E82E50"/>
    <w:rsid w:val="00E8342A"/>
    <w:rsid w:val="00E85A2F"/>
    <w:rsid w:val="00E87E38"/>
    <w:rsid w:val="00E94B48"/>
    <w:rsid w:val="00E9537D"/>
    <w:rsid w:val="00EA354C"/>
    <w:rsid w:val="00EA4E63"/>
    <w:rsid w:val="00EA71F8"/>
    <w:rsid w:val="00EB3089"/>
    <w:rsid w:val="00EB4992"/>
    <w:rsid w:val="00EB7EBB"/>
    <w:rsid w:val="00EC0FA7"/>
    <w:rsid w:val="00EC68D4"/>
    <w:rsid w:val="00ED1326"/>
    <w:rsid w:val="00ED69BD"/>
    <w:rsid w:val="00ED731C"/>
    <w:rsid w:val="00EE495C"/>
    <w:rsid w:val="00EE7CB3"/>
    <w:rsid w:val="00EF1A79"/>
    <w:rsid w:val="00EF2B95"/>
    <w:rsid w:val="00EF36ED"/>
    <w:rsid w:val="00EF4916"/>
    <w:rsid w:val="00EF60AA"/>
    <w:rsid w:val="00F024C6"/>
    <w:rsid w:val="00F06D03"/>
    <w:rsid w:val="00F07397"/>
    <w:rsid w:val="00F1110E"/>
    <w:rsid w:val="00F127D0"/>
    <w:rsid w:val="00F1408C"/>
    <w:rsid w:val="00F156FC"/>
    <w:rsid w:val="00F17438"/>
    <w:rsid w:val="00F21BA1"/>
    <w:rsid w:val="00F2263E"/>
    <w:rsid w:val="00F24017"/>
    <w:rsid w:val="00F24AD3"/>
    <w:rsid w:val="00F24FF4"/>
    <w:rsid w:val="00F27CD8"/>
    <w:rsid w:val="00F31BAE"/>
    <w:rsid w:val="00F326F2"/>
    <w:rsid w:val="00F3382E"/>
    <w:rsid w:val="00F33A9B"/>
    <w:rsid w:val="00F33C84"/>
    <w:rsid w:val="00F33DC1"/>
    <w:rsid w:val="00F35495"/>
    <w:rsid w:val="00F4401B"/>
    <w:rsid w:val="00F45096"/>
    <w:rsid w:val="00F46745"/>
    <w:rsid w:val="00F522BB"/>
    <w:rsid w:val="00F553F9"/>
    <w:rsid w:val="00F60F18"/>
    <w:rsid w:val="00F6231B"/>
    <w:rsid w:val="00F62795"/>
    <w:rsid w:val="00F63E1C"/>
    <w:rsid w:val="00F65716"/>
    <w:rsid w:val="00F6757A"/>
    <w:rsid w:val="00F676BE"/>
    <w:rsid w:val="00F67F9F"/>
    <w:rsid w:val="00F76419"/>
    <w:rsid w:val="00F77EDB"/>
    <w:rsid w:val="00F77EF0"/>
    <w:rsid w:val="00F80A79"/>
    <w:rsid w:val="00F81F94"/>
    <w:rsid w:val="00F82824"/>
    <w:rsid w:val="00F93C6E"/>
    <w:rsid w:val="00F94FAE"/>
    <w:rsid w:val="00F95B41"/>
    <w:rsid w:val="00F9604A"/>
    <w:rsid w:val="00F974A1"/>
    <w:rsid w:val="00FA207C"/>
    <w:rsid w:val="00FA3FBB"/>
    <w:rsid w:val="00FA55A8"/>
    <w:rsid w:val="00FD002A"/>
    <w:rsid w:val="00FD00F3"/>
    <w:rsid w:val="00FD6663"/>
    <w:rsid w:val="00FD70D1"/>
    <w:rsid w:val="00FD72F7"/>
    <w:rsid w:val="00FE0063"/>
    <w:rsid w:val="00FE6682"/>
    <w:rsid w:val="00FF2A2A"/>
    <w:rsid w:val="00FF57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B0A6"/>
  <w15:chartTrackingRefBased/>
  <w15:docId w15:val="{35110D0F-59FE-C94F-B353-E83AFC61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784"/>
    <w:rPr>
      <w:sz w:val="24"/>
      <w:szCs w:val="24"/>
    </w:rPr>
  </w:style>
  <w:style w:type="paragraph" w:styleId="Heading1">
    <w:name w:val="heading 1"/>
    <w:basedOn w:val="Normal"/>
    <w:next w:val="Normal"/>
    <w:link w:val="Heading1Char"/>
    <w:uiPriority w:val="9"/>
    <w:qFormat/>
    <w:rsid w:val="00093077"/>
    <w:pPr>
      <w:keepNext/>
      <w:jc w:val="center"/>
      <w:outlineLvl w:val="0"/>
    </w:pPr>
    <w:rPr>
      <w:b/>
      <w:sz w:val="28"/>
      <w:szCs w:val="28"/>
    </w:rPr>
  </w:style>
  <w:style w:type="paragraph" w:styleId="Heading3">
    <w:name w:val="heading 3"/>
    <w:basedOn w:val="Normal"/>
    <w:next w:val="Normal"/>
    <w:qFormat/>
    <w:rsid w:val="0070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464B"/>
    <w:rPr>
      <w:rFonts w:ascii="Cambria" w:eastAsia="Times New Roman" w:hAnsi="Cambria" w:cs="Times New Roman"/>
      <w:b/>
      <w:bCs/>
      <w:kern w:val="32"/>
      <w:sz w:val="32"/>
      <w:szCs w:val="32"/>
    </w:rPr>
  </w:style>
  <w:style w:type="character" w:styleId="Hyperlink">
    <w:name w:val="Hyperlink"/>
    <w:uiPriority w:val="99"/>
    <w:rsid w:val="00A73602"/>
    <w:rPr>
      <w:rFonts w:cs="Times New Roman"/>
      <w:color w:val="0000FF"/>
      <w:u w:val="single"/>
    </w:rPr>
  </w:style>
  <w:style w:type="paragraph" w:styleId="BalloonText">
    <w:name w:val="Balloon Text"/>
    <w:basedOn w:val="Normal"/>
    <w:link w:val="BalloonTextChar"/>
    <w:uiPriority w:val="99"/>
    <w:rsid w:val="00C734EE"/>
    <w:rPr>
      <w:rFonts w:ascii="Tahoma" w:hAnsi="Tahoma" w:cs="Tahoma"/>
      <w:sz w:val="16"/>
      <w:szCs w:val="16"/>
    </w:rPr>
  </w:style>
  <w:style w:type="character" w:customStyle="1" w:styleId="BalloonTextChar">
    <w:name w:val="Balloon Text Char"/>
    <w:link w:val="BalloonText"/>
    <w:uiPriority w:val="99"/>
    <w:locked/>
    <w:rsid w:val="00C734EE"/>
    <w:rPr>
      <w:rFonts w:ascii="Tahoma" w:hAnsi="Tahoma" w:cs="Tahoma"/>
      <w:sz w:val="16"/>
      <w:szCs w:val="16"/>
    </w:rPr>
  </w:style>
  <w:style w:type="paragraph" w:styleId="HTMLPreformatted">
    <w:name w:val="HTML Preformatted"/>
    <w:basedOn w:val="Normal"/>
    <w:rsid w:val="00AC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4A52C4"/>
    <w:pPr>
      <w:tabs>
        <w:tab w:val="center" w:pos="4680"/>
        <w:tab w:val="right" w:pos="9360"/>
      </w:tabs>
    </w:pPr>
  </w:style>
  <w:style w:type="character" w:customStyle="1" w:styleId="HeaderChar">
    <w:name w:val="Header Char"/>
    <w:link w:val="Header"/>
    <w:rsid w:val="004A52C4"/>
    <w:rPr>
      <w:sz w:val="24"/>
      <w:szCs w:val="24"/>
    </w:rPr>
  </w:style>
  <w:style w:type="paragraph" w:styleId="Footer">
    <w:name w:val="footer"/>
    <w:basedOn w:val="Normal"/>
    <w:link w:val="FooterChar"/>
    <w:rsid w:val="004A52C4"/>
    <w:pPr>
      <w:tabs>
        <w:tab w:val="center" w:pos="4680"/>
        <w:tab w:val="right" w:pos="9360"/>
      </w:tabs>
    </w:pPr>
  </w:style>
  <w:style w:type="character" w:customStyle="1" w:styleId="FooterChar">
    <w:name w:val="Footer Char"/>
    <w:link w:val="Footer"/>
    <w:rsid w:val="004A52C4"/>
    <w:rPr>
      <w:sz w:val="24"/>
      <w:szCs w:val="24"/>
    </w:rPr>
  </w:style>
  <w:style w:type="character" w:customStyle="1" w:styleId="zzmpTrailerItem">
    <w:name w:val="zzmpTrailerItem"/>
    <w:rsid w:val="00B974F7"/>
    <w:rPr>
      <w:rFonts w:ascii="Times New Roman" w:hAnsi="Times New Roman" w:cs="Times New Roman"/>
      <w:dstrike w:val="0"/>
      <w:noProof/>
      <w:color w:val="auto"/>
      <w:spacing w:val="0"/>
      <w:position w:val="0"/>
      <w:sz w:val="16"/>
      <w:szCs w:val="16"/>
      <w:u w:val="none"/>
      <w:effect w:val="none"/>
      <w:vertAlign w:val="baseline"/>
    </w:rPr>
  </w:style>
  <w:style w:type="character" w:styleId="PageNumber">
    <w:name w:val="page number"/>
    <w:rsid w:val="00AF4DD0"/>
  </w:style>
  <w:style w:type="character" w:customStyle="1" w:styleId="apple-converted-space">
    <w:name w:val="apple-converted-space"/>
    <w:rsid w:val="0023748E"/>
  </w:style>
  <w:style w:type="character" w:styleId="CommentReference">
    <w:name w:val="annotation reference"/>
    <w:rsid w:val="002E7EF6"/>
    <w:rPr>
      <w:sz w:val="16"/>
      <w:szCs w:val="16"/>
    </w:rPr>
  </w:style>
  <w:style w:type="paragraph" w:styleId="CommentText">
    <w:name w:val="annotation text"/>
    <w:basedOn w:val="Normal"/>
    <w:link w:val="CommentTextChar"/>
    <w:rsid w:val="002E7EF6"/>
    <w:rPr>
      <w:sz w:val="20"/>
      <w:szCs w:val="20"/>
    </w:rPr>
  </w:style>
  <w:style w:type="character" w:customStyle="1" w:styleId="CommentTextChar">
    <w:name w:val="Comment Text Char"/>
    <w:basedOn w:val="DefaultParagraphFont"/>
    <w:link w:val="CommentText"/>
    <w:rsid w:val="002E7EF6"/>
  </w:style>
  <w:style w:type="paragraph" w:styleId="CommentSubject">
    <w:name w:val="annotation subject"/>
    <w:basedOn w:val="CommentText"/>
    <w:next w:val="CommentText"/>
    <w:link w:val="CommentSubjectChar"/>
    <w:rsid w:val="002E7EF6"/>
    <w:rPr>
      <w:b/>
      <w:bCs/>
    </w:rPr>
  </w:style>
  <w:style w:type="character" w:customStyle="1" w:styleId="CommentSubjectChar">
    <w:name w:val="Comment Subject Char"/>
    <w:link w:val="CommentSubject"/>
    <w:rsid w:val="002E7EF6"/>
    <w:rPr>
      <w:b/>
      <w:bCs/>
    </w:rPr>
  </w:style>
  <w:style w:type="character" w:customStyle="1" w:styleId="UnresolvedMention1">
    <w:name w:val="Unresolved Mention1"/>
    <w:uiPriority w:val="99"/>
    <w:semiHidden/>
    <w:unhideWhenUsed/>
    <w:rsid w:val="00F27CD8"/>
    <w:rPr>
      <w:color w:val="605E5C"/>
      <w:shd w:val="clear" w:color="auto" w:fill="E1DFDD"/>
    </w:rPr>
  </w:style>
  <w:style w:type="paragraph" w:styleId="ListParagraph">
    <w:name w:val="List Paragraph"/>
    <w:basedOn w:val="Normal"/>
    <w:uiPriority w:val="34"/>
    <w:qFormat/>
    <w:rsid w:val="00223E29"/>
    <w:pPr>
      <w:ind w:left="720"/>
      <w:contextualSpacing/>
    </w:pPr>
  </w:style>
  <w:style w:type="character" w:styleId="UnresolvedMention">
    <w:name w:val="Unresolved Mention"/>
    <w:basedOn w:val="DefaultParagraphFont"/>
    <w:uiPriority w:val="99"/>
    <w:semiHidden/>
    <w:unhideWhenUsed/>
    <w:rsid w:val="003209AF"/>
    <w:rPr>
      <w:color w:val="605E5C"/>
      <w:shd w:val="clear" w:color="auto" w:fill="E1DFDD"/>
    </w:rPr>
  </w:style>
  <w:style w:type="character" w:styleId="FollowedHyperlink">
    <w:name w:val="FollowedHyperlink"/>
    <w:basedOn w:val="DefaultParagraphFont"/>
    <w:rsid w:val="003E6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948">
      <w:bodyDiv w:val="1"/>
      <w:marLeft w:val="0"/>
      <w:marRight w:val="0"/>
      <w:marTop w:val="0"/>
      <w:marBottom w:val="0"/>
      <w:divBdr>
        <w:top w:val="none" w:sz="0" w:space="0" w:color="auto"/>
        <w:left w:val="none" w:sz="0" w:space="0" w:color="auto"/>
        <w:bottom w:val="none" w:sz="0" w:space="0" w:color="auto"/>
        <w:right w:val="none" w:sz="0" w:space="0" w:color="auto"/>
      </w:divBdr>
    </w:div>
    <w:div w:id="56711578">
      <w:bodyDiv w:val="1"/>
      <w:marLeft w:val="0"/>
      <w:marRight w:val="0"/>
      <w:marTop w:val="0"/>
      <w:marBottom w:val="0"/>
      <w:divBdr>
        <w:top w:val="none" w:sz="0" w:space="0" w:color="auto"/>
        <w:left w:val="none" w:sz="0" w:space="0" w:color="auto"/>
        <w:bottom w:val="none" w:sz="0" w:space="0" w:color="auto"/>
        <w:right w:val="none" w:sz="0" w:space="0" w:color="auto"/>
      </w:divBdr>
    </w:div>
    <w:div w:id="57946872">
      <w:bodyDiv w:val="1"/>
      <w:marLeft w:val="0"/>
      <w:marRight w:val="0"/>
      <w:marTop w:val="0"/>
      <w:marBottom w:val="0"/>
      <w:divBdr>
        <w:top w:val="none" w:sz="0" w:space="0" w:color="auto"/>
        <w:left w:val="none" w:sz="0" w:space="0" w:color="auto"/>
        <w:bottom w:val="none" w:sz="0" w:space="0" w:color="auto"/>
        <w:right w:val="none" w:sz="0" w:space="0" w:color="auto"/>
      </w:divBdr>
    </w:div>
    <w:div w:id="101809120">
      <w:bodyDiv w:val="1"/>
      <w:marLeft w:val="0"/>
      <w:marRight w:val="0"/>
      <w:marTop w:val="0"/>
      <w:marBottom w:val="0"/>
      <w:divBdr>
        <w:top w:val="none" w:sz="0" w:space="0" w:color="auto"/>
        <w:left w:val="none" w:sz="0" w:space="0" w:color="auto"/>
        <w:bottom w:val="none" w:sz="0" w:space="0" w:color="auto"/>
        <w:right w:val="none" w:sz="0" w:space="0" w:color="auto"/>
      </w:divBdr>
    </w:div>
    <w:div w:id="119617341">
      <w:bodyDiv w:val="1"/>
      <w:marLeft w:val="0"/>
      <w:marRight w:val="0"/>
      <w:marTop w:val="0"/>
      <w:marBottom w:val="0"/>
      <w:divBdr>
        <w:top w:val="none" w:sz="0" w:space="0" w:color="auto"/>
        <w:left w:val="none" w:sz="0" w:space="0" w:color="auto"/>
        <w:bottom w:val="none" w:sz="0" w:space="0" w:color="auto"/>
        <w:right w:val="none" w:sz="0" w:space="0" w:color="auto"/>
      </w:divBdr>
    </w:div>
    <w:div w:id="131800674">
      <w:bodyDiv w:val="1"/>
      <w:marLeft w:val="0"/>
      <w:marRight w:val="0"/>
      <w:marTop w:val="0"/>
      <w:marBottom w:val="0"/>
      <w:divBdr>
        <w:top w:val="none" w:sz="0" w:space="0" w:color="auto"/>
        <w:left w:val="none" w:sz="0" w:space="0" w:color="auto"/>
        <w:bottom w:val="none" w:sz="0" w:space="0" w:color="auto"/>
        <w:right w:val="none" w:sz="0" w:space="0" w:color="auto"/>
      </w:divBdr>
    </w:div>
    <w:div w:id="140973235">
      <w:bodyDiv w:val="1"/>
      <w:marLeft w:val="0"/>
      <w:marRight w:val="0"/>
      <w:marTop w:val="0"/>
      <w:marBottom w:val="0"/>
      <w:divBdr>
        <w:top w:val="none" w:sz="0" w:space="0" w:color="auto"/>
        <w:left w:val="none" w:sz="0" w:space="0" w:color="auto"/>
        <w:bottom w:val="none" w:sz="0" w:space="0" w:color="auto"/>
        <w:right w:val="none" w:sz="0" w:space="0" w:color="auto"/>
      </w:divBdr>
    </w:div>
    <w:div w:id="307976771">
      <w:bodyDiv w:val="1"/>
      <w:marLeft w:val="0"/>
      <w:marRight w:val="0"/>
      <w:marTop w:val="0"/>
      <w:marBottom w:val="0"/>
      <w:divBdr>
        <w:top w:val="none" w:sz="0" w:space="0" w:color="auto"/>
        <w:left w:val="none" w:sz="0" w:space="0" w:color="auto"/>
        <w:bottom w:val="none" w:sz="0" w:space="0" w:color="auto"/>
        <w:right w:val="none" w:sz="0" w:space="0" w:color="auto"/>
      </w:divBdr>
    </w:div>
    <w:div w:id="386878824">
      <w:bodyDiv w:val="1"/>
      <w:marLeft w:val="0"/>
      <w:marRight w:val="0"/>
      <w:marTop w:val="0"/>
      <w:marBottom w:val="0"/>
      <w:divBdr>
        <w:top w:val="none" w:sz="0" w:space="0" w:color="auto"/>
        <w:left w:val="none" w:sz="0" w:space="0" w:color="auto"/>
        <w:bottom w:val="none" w:sz="0" w:space="0" w:color="auto"/>
        <w:right w:val="none" w:sz="0" w:space="0" w:color="auto"/>
      </w:divBdr>
    </w:div>
    <w:div w:id="409615590">
      <w:bodyDiv w:val="1"/>
      <w:marLeft w:val="0"/>
      <w:marRight w:val="0"/>
      <w:marTop w:val="0"/>
      <w:marBottom w:val="0"/>
      <w:divBdr>
        <w:top w:val="none" w:sz="0" w:space="0" w:color="auto"/>
        <w:left w:val="none" w:sz="0" w:space="0" w:color="auto"/>
        <w:bottom w:val="none" w:sz="0" w:space="0" w:color="auto"/>
        <w:right w:val="none" w:sz="0" w:space="0" w:color="auto"/>
      </w:divBdr>
    </w:div>
    <w:div w:id="468322791">
      <w:bodyDiv w:val="1"/>
      <w:marLeft w:val="0"/>
      <w:marRight w:val="0"/>
      <w:marTop w:val="0"/>
      <w:marBottom w:val="0"/>
      <w:divBdr>
        <w:top w:val="none" w:sz="0" w:space="0" w:color="auto"/>
        <w:left w:val="none" w:sz="0" w:space="0" w:color="auto"/>
        <w:bottom w:val="none" w:sz="0" w:space="0" w:color="auto"/>
        <w:right w:val="none" w:sz="0" w:space="0" w:color="auto"/>
      </w:divBdr>
    </w:div>
    <w:div w:id="523371680">
      <w:bodyDiv w:val="1"/>
      <w:marLeft w:val="0"/>
      <w:marRight w:val="0"/>
      <w:marTop w:val="0"/>
      <w:marBottom w:val="0"/>
      <w:divBdr>
        <w:top w:val="none" w:sz="0" w:space="0" w:color="auto"/>
        <w:left w:val="none" w:sz="0" w:space="0" w:color="auto"/>
        <w:bottom w:val="none" w:sz="0" w:space="0" w:color="auto"/>
        <w:right w:val="none" w:sz="0" w:space="0" w:color="auto"/>
      </w:divBdr>
    </w:div>
    <w:div w:id="545991603">
      <w:bodyDiv w:val="1"/>
      <w:marLeft w:val="0"/>
      <w:marRight w:val="0"/>
      <w:marTop w:val="0"/>
      <w:marBottom w:val="0"/>
      <w:divBdr>
        <w:top w:val="none" w:sz="0" w:space="0" w:color="auto"/>
        <w:left w:val="none" w:sz="0" w:space="0" w:color="auto"/>
        <w:bottom w:val="none" w:sz="0" w:space="0" w:color="auto"/>
        <w:right w:val="none" w:sz="0" w:space="0" w:color="auto"/>
      </w:divBdr>
    </w:div>
    <w:div w:id="584461857">
      <w:bodyDiv w:val="1"/>
      <w:marLeft w:val="0"/>
      <w:marRight w:val="0"/>
      <w:marTop w:val="0"/>
      <w:marBottom w:val="0"/>
      <w:divBdr>
        <w:top w:val="none" w:sz="0" w:space="0" w:color="auto"/>
        <w:left w:val="none" w:sz="0" w:space="0" w:color="auto"/>
        <w:bottom w:val="none" w:sz="0" w:space="0" w:color="auto"/>
        <w:right w:val="none" w:sz="0" w:space="0" w:color="auto"/>
      </w:divBdr>
    </w:div>
    <w:div w:id="634020491">
      <w:bodyDiv w:val="1"/>
      <w:marLeft w:val="0"/>
      <w:marRight w:val="0"/>
      <w:marTop w:val="0"/>
      <w:marBottom w:val="0"/>
      <w:divBdr>
        <w:top w:val="none" w:sz="0" w:space="0" w:color="auto"/>
        <w:left w:val="none" w:sz="0" w:space="0" w:color="auto"/>
        <w:bottom w:val="none" w:sz="0" w:space="0" w:color="auto"/>
        <w:right w:val="none" w:sz="0" w:space="0" w:color="auto"/>
      </w:divBdr>
    </w:div>
    <w:div w:id="695543941">
      <w:bodyDiv w:val="1"/>
      <w:marLeft w:val="0"/>
      <w:marRight w:val="0"/>
      <w:marTop w:val="0"/>
      <w:marBottom w:val="0"/>
      <w:divBdr>
        <w:top w:val="none" w:sz="0" w:space="0" w:color="auto"/>
        <w:left w:val="none" w:sz="0" w:space="0" w:color="auto"/>
        <w:bottom w:val="none" w:sz="0" w:space="0" w:color="auto"/>
        <w:right w:val="none" w:sz="0" w:space="0" w:color="auto"/>
      </w:divBdr>
    </w:div>
    <w:div w:id="727152228">
      <w:bodyDiv w:val="1"/>
      <w:marLeft w:val="0"/>
      <w:marRight w:val="0"/>
      <w:marTop w:val="0"/>
      <w:marBottom w:val="0"/>
      <w:divBdr>
        <w:top w:val="none" w:sz="0" w:space="0" w:color="auto"/>
        <w:left w:val="none" w:sz="0" w:space="0" w:color="auto"/>
        <w:bottom w:val="none" w:sz="0" w:space="0" w:color="auto"/>
        <w:right w:val="none" w:sz="0" w:space="0" w:color="auto"/>
      </w:divBdr>
    </w:div>
    <w:div w:id="773208493">
      <w:bodyDiv w:val="1"/>
      <w:marLeft w:val="0"/>
      <w:marRight w:val="0"/>
      <w:marTop w:val="0"/>
      <w:marBottom w:val="0"/>
      <w:divBdr>
        <w:top w:val="none" w:sz="0" w:space="0" w:color="auto"/>
        <w:left w:val="none" w:sz="0" w:space="0" w:color="auto"/>
        <w:bottom w:val="none" w:sz="0" w:space="0" w:color="auto"/>
        <w:right w:val="none" w:sz="0" w:space="0" w:color="auto"/>
      </w:divBdr>
    </w:div>
    <w:div w:id="791170376">
      <w:bodyDiv w:val="1"/>
      <w:marLeft w:val="0"/>
      <w:marRight w:val="0"/>
      <w:marTop w:val="0"/>
      <w:marBottom w:val="0"/>
      <w:divBdr>
        <w:top w:val="none" w:sz="0" w:space="0" w:color="auto"/>
        <w:left w:val="none" w:sz="0" w:space="0" w:color="auto"/>
        <w:bottom w:val="none" w:sz="0" w:space="0" w:color="auto"/>
        <w:right w:val="none" w:sz="0" w:space="0" w:color="auto"/>
      </w:divBdr>
    </w:div>
    <w:div w:id="842017599">
      <w:bodyDiv w:val="1"/>
      <w:marLeft w:val="0"/>
      <w:marRight w:val="0"/>
      <w:marTop w:val="0"/>
      <w:marBottom w:val="0"/>
      <w:divBdr>
        <w:top w:val="none" w:sz="0" w:space="0" w:color="auto"/>
        <w:left w:val="none" w:sz="0" w:space="0" w:color="auto"/>
        <w:bottom w:val="none" w:sz="0" w:space="0" w:color="auto"/>
        <w:right w:val="none" w:sz="0" w:space="0" w:color="auto"/>
      </w:divBdr>
    </w:div>
    <w:div w:id="863440102">
      <w:bodyDiv w:val="1"/>
      <w:marLeft w:val="0"/>
      <w:marRight w:val="0"/>
      <w:marTop w:val="0"/>
      <w:marBottom w:val="0"/>
      <w:divBdr>
        <w:top w:val="none" w:sz="0" w:space="0" w:color="auto"/>
        <w:left w:val="none" w:sz="0" w:space="0" w:color="auto"/>
        <w:bottom w:val="none" w:sz="0" w:space="0" w:color="auto"/>
        <w:right w:val="none" w:sz="0" w:space="0" w:color="auto"/>
      </w:divBdr>
    </w:div>
    <w:div w:id="893544900">
      <w:bodyDiv w:val="1"/>
      <w:marLeft w:val="0"/>
      <w:marRight w:val="0"/>
      <w:marTop w:val="0"/>
      <w:marBottom w:val="0"/>
      <w:divBdr>
        <w:top w:val="none" w:sz="0" w:space="0" w:color="auto"/>
        <w:left w:val="none" w:sz="0" w:space="0" w:color="auto"/>
        <w:bottom w:val="none" w:sz="0" w:space="0" w:color="auto"/>
        <w:right w:val="none" w:sz="0" w:space="0" w:color="auto"/>
      </w:divBdr>
    </w:div>
    <w:div w:id="970746654">
      <w:bodyDiv w:val="1"/>
      <w:marLeft w:val="0"/>
      <w:marRight w:val="0"/>
      <w:marTop w:val="0"/>
      <w:marBottom w:val="0"/>
      <w:divBdr>
        <w:top w:val="none" w:sz="0" w:space="0" w:color="auto"/>
        <w:left w:val="none" w:sz="0" w:space="0" w:color="auto"/>
        <w:bottom w:val="none" w:sz="0" w:space="0" w:color="auto"/>
        <w:right w:val="none" w:sz="0" w:space="0" w:color="auto"/>
      </w:divBdr>
    </w:div>
    <w:div w:id="972179110">
      <w:bodyDiv w:val="1"/>
      <w:marLeft w:val="0"/>
      <w:marRight w:val="0"/>
      <w:marTop w:val="0"/>
      <w:marBottom w:val="0"/>
      <w:divBdr>
        <w:top w:val="none" w:sz="0" w:space="0" w:color="auto"/>
        <w:left w:val="none" w:sz="0" w:space="0" w:color="auto"/>
        <w:bottom w:val="none" w:sz="0" w:space="0" w:color="auto"/>
        <w:right w:val="none" w:sz="0" w:space="0" w:color="auto"/>
      </w:divBdr>
    </w:div>
    <w:div w:id="994338574">
      <w:bodyDiv w:val="1"/>
      <w:marLeft w:val="0"/>
      <w:marRight w:val="0"/>
      <w:marTop w:val="0"/>
      <w:marBottom w:val="0"/>
      <w:divBdr>
        <w:top w:val="none" w:sz="0" w:space="0" w:color="auto"/>
        <w:left w:val="none" w:sz="0" w:space="0" w:color="auto"/>
        <w:bottom w:val="none" w:sz="0" w:space="0" w:color="auto"/>
        <w:right w:val="none" w:sz="0" w:space="0" w:color="auto"/>
      </w:divBdr>
    </w:div>
    <w:div w:id="1164589069">
      <w:bodyDiv w:val="1"/>
      <w:marLeft w:val="0"/>
      <w:marRight w:val="0"/>
      <w:marTop w:val="0"/>
      <w:marBottom w:val="0"/>
      <w:divBdr>
        <w:top w:val="none" w:sz="0" w:space="0" w:color="auto"/>
        <w:left w:val="none" w:sz="0" w:space="0" w:color="auto"/>
        <w:bottom w:val="none" w:sz="0" w:space="0" w:color="auto"/>
        <w:right w:val="none" w:sz="0" w:space="0" w:color="auto"/>
      </w:divBdr>
    </w:div>
    <w:div w:id="1190949892">
      <w:bodyDiv w:val="1"/>
      <w:marLeft w:val="0"/>
      <w:marRight w:val="0"/>
      <w:marTop w:val="0"/>
      <w:marBottom w:val="0"/>
      <w:divBdr>
        <w:top w:val="none" w:sz="0" w:space="0" w:color="auto"/>
        <w:left w:val="none" w:sz="0" w:space="0" w:color="auto"/>
        <w:bottom w:val="none" w:sz="0" w:space="0" w:color="auto"/>
        <w:right w:val="none" w:sz="0" w:space="0" w:color="auto"/>
      </w:divBdr>
    </w:div>
    <w:div w:id="1234003340">
      <w:bodyDiv w:val="1"/>
      <w:marLeft w:val="0"/>
      <w:marRight w:val="0"/>
      <w:marTop w:val="0"/>
      <w:marBottom w:val="0"/>
      <w:divBdr>
        <w:top w:val="none" w:sz="0" w:space="0" w:color="auto"/>
        <w:left w:val="none" w:sz="0" w:space="0" w:color="auto"/>
        <w:bottom w:val="none" w:sz="0" w:space="0" w:color="auto"/>
        <w:right w:val="none" w:sz="0" w:space="0" w:color="auto"/>
      </w:divBdr>
    </w:div>
    <w:div w:id="1250427959">
      <w:bodyDiv w:val="1"/>
      <w:marLeft w:val="0"/>
      <w:marRight w:val="0"/>
      <w:marTop w:val="0"/>
      <w:marBottom w:val="0"/>
      <w:divBdr>
        <w:top w:val="none" w:sz="0" w:space="0" w:color="auto"/>
        <w:left w:val="none" w:sz="0" w:space="0" w:color="auto"/>
        <w:bottom w:val="none" w:sz="0" w:space="0" w:color="auto"/>
        <w:right w:val="none" w:sz="0" w:space="0" w:color="auto"/>
      </w:divBdr>
    </w:div>
    <w:div w:id="1384520882">
      <w:bodyDiv w:val="1"/>
      <w:marLeft w:val="0"/>
      <w:marRight w:val="0"/>
      <w:marTop w:val="0"/>
      <w:marBottom w:val="0"/>
      <w:divBdr>
        <w:top w:val="none" w:sz="0" w:space="0" w:color="auto"/>
        <w:left w:val="none" w:sz="0" w:space="0" w:color="auto"/>
        <w:bottom w:val="none" w:sz="0" w:space="0" w:color="auto"/>
        <w:right w:val="none" w:sz="0" w:space="0" w:color="auto"/>
      </w:divBdr>
    </w:div>
    <w:div w:id="1389495370">
      <w:bodyDiv w:val="1"/>
      <w:marLeft w:val="0"/>
      <w:marRight w:val="0"/>
      <w:marTop w:val="0"/>
      <w:marBottom w:val="0"/>
      <w:divBdr>
        <w:top w:val="none" w:sz="0" w:space="0" w:color="auto"/>
        <w:left w:val="none" w:sz="0" w:space="0" w:color="auto"/>
        <w:bottom w:val="none" w:sz="0" w:space="0" w:color="auto"/>
        <w:right w:val="none" w:sz="0" w:space="0" w:color="auto"/>
      </w:divBdr>
    </w:div>
    <w:div w:id="1454902236">
      <w:bodyDiv w:val="1"/>
      <w:marLeft w:val="0"/>
      <w:marRight w:val="0"/>
      <w:marTop w:val="0"/>
      <w:marBottom w:val="0"/>
      <w:divBdr>
        <w:top w:val="none" w:sz="0" w:space="0" w:color="auto"/>
        <w:left w:val="none" w:sz="0" w:space="0" w:color="auto"/>
        <w:bottom w:val="none" w:sz="0" w:space="0" w:color="auto"/>
        <w:right w:val="none" w:sz="0" w:space="0" w:color="auto"/>
      </w:divBdr>
    </w:div>
    <w:div w:id="1465392538">
      <w:bodyDiv w:val="1"/>
      <w:marLeft w:val="0"/>
      <w:marRight w:val="0"/>
      <w:marTop w:val="0"/>
      <w:marBottom w:val="0"/>
      <w:divBdr>
        <w:top w:val="none" w:sz="0" w:space="0" w:color="auto"/>
        <w:left w:val="none" w:sz="0" w:space="0" w:color="auto"/>
        <w:bottom w:val="none" w:sz="0" w:space="0" w:color="auto"/>
        <w:right w:val="none" w:sz="0" w:space="0" w:color="auto"/>
      </w:divBdr>
    </w:div>
    <w:div w:id="1543443285">
      <w:bodyDiv w:val="1"/>
      <w:marLeft w:val="0"/>
      <w:marRight w:val="0"/>
      <w:marTop w:val="0"/>
      <w:marBottom w:val="0"/>
      <w:divBdr>
        <w:top w:val="none" w:sz="0" w:space="0" w:color="auto"/>
        <w:left w:val="none" w:sz="0" w:space="0" w:color="auto"/>
        <w:bottom w:val="none" w:sz="0" w:space="0" w:color="auto"/>
        <w:right w:val="none" w:sz="0" w:space="0" w:color="auto"/>
      </w:divBdr>
    </w:div>
    <w:div w:id="1544948152">
      <w:bodyDiv w:val="1"/>
      <w:marLeft w:val="0"/>
      <w:marRight w:val="0"/>
      <w:marTop w:val="0"/>
      <w:marBottom w:val="0"/>
      <w:divBdr>
        <w:top w:val="none" w:sz="0" w:space="0" w:color="auto"/>
        <w:left w:val="none" w:sz="0" w:space="0" w:color="auto"/>
        <w:bottom w:val="none" w:sz="0" w:space="0" w:color="auto"/>
        <w:right w:val="none" w:sz="0" w:space="0" w:color="auto"/>
      </w:divBdr>
      <w:divsChild>
        <w:div w:id="1750498959">
          <w:marLeft w:val="0"/>
          <w:marRight w:val="0"/>
          <w:marTop w:val="0"/>
          <w:marBottom w:val="0"/>
          <w:divBdr>
            <w:top w:val="none" w:sz="0" w:space="0" w:color="auto"/>
            <w:left w:val="none" w:sz="0" w:space="0" w:color="auto"/>
            <w:bottom w:val="none" w:sz="0" w:space="0" w:color="auto"/>
            <w:right w:val="none" w:sz="0" w:space="0" w:color="auto"/>
          </w:divBdr>
        </w:div>
        <w:div w:id="1893537903">
          <w:marLeft w:val="0"/>
          <w:marRight w:val="0"/>
          <w:marTop w:val="0"/>
          <w:marBottom w:val="0"/>
          <w:divBdr>
            <w:top w:val="none" w:sz="0" w:space="0" w:color="auto"/>
            <w:left w:val="none" w:sz="0" w:space="0" w:color="auto"/>
            <w:bottom w:val="none" w:sz="0" w:space="0" w:color="auto"/>
            <w:right w:val="none" w:sz="0" w:space="0" w:color="auto"/>
          </w:divBdr>
        </w:div>
      </w:divsChild>
    </w:div>
    <w:div w:id="1658800918">
      <w:bodyDiv w:val="1"/>
      <w:marLeft w:val="0"/>
      <w:marRight w:val="0"/>
      <w:marTop w:val="0"/>
      <w:marBottom w:val="0"/>
      <w:divBdr>
        <w:top w:val="none" w:sz="0" w:space="0" w:color="auto"/>
        <w:left w:val="none" w:sz="0" w:space="0" w:color="auto"/>
        <w:bottom w:val="none" w:sz="0" w:space="0" w:color="auto"/>
        <w:right w:val="none" w:sz="0" w:space="0" w:color="auto"/>
      </w:divBdr>
    </w:div>
    <w:div w:id="1678580536">
      <w:bodyDiv w:val="1"/>
      <w:marLeft w:val="0"/>
      <w:marRight w:val="0"/>
      <w:marTop w:val="0"/>
      <w:marBottom w:val="0"/>
      <w:divBdr>
        <w:top w:val="none" w:sz="0" w:space="0" w:color="auto"/>
        <w:left w:val="none" w:sz="0" w:space="0" w:color="auto"/>
        <w:bottom w:val="none" w:sz="0" w:space="0" w:color="auto"/>
        <w:right w:val="none" w:sz="0" w:space="0" w:color="auto"/>
      </w:divBdr>
    </w:div>
    <w:div w:id="1687631531">
      <w:bodyDiv w:val="1"/>
      <w:marLeft w:val="0"/>
      <w:marRight w:val="0"/>
      <w:marTop w:val="0"/>
      <w:marBottom w:val="0"/>
      <w:divBdr>
        <w:top w:val="none" w:sz="0" w:space="0" w:color="auto"/>
        <w:left w:val="none" w:sz="0" w:space="0" w:color="auto"/>
        <w:bottom w:val="none" w:sz="0" w:space="0" w:color="auto"/>
        <w:right w:val="none" w:sz="0" w:space="0" w:color="auto"/>
      </w:divBdr>
    </w:div>
    <w:div w:id="1745759338">
      <w:bodyDiv w:val="1"/>
      <w:marLeft w:val="0"/>
      <w:marRight w:val="0"/>
      <w:marTop w:val="0"/>
      <w:marBottom w:val="0"/>
      <w:divBdr>
        <w:top w:val="none" w:sz="0" w:space="0" w:color="auto"/>
        <w:left w:val="none" w:sz="0" w:space="0" w:color="auto"/>
        <w:bottom w:val="none" w:sz="0" w:space="0" w:color="auto"/>
        <w:right w:val="none" w:sz="0" w:space="0" w:color="auto"/>
      </w:divBdr>
    </w:div>
    <w:div w:id="1774399483">
      <w:bodyDiv w:val="1"/>
      <w:marLeft w:val="0"/>
      <w:marRight w:val="0"/>
      <w:marTop w:val="0"/>
      <w:marBottom w:val="0"/>
      <w:divBdr>
        <w:top w:val="none" w:sz="0" w:space="0" w:color="auto"/>
        <w:left w:val="none" w:sz="0" w:space="0" w:color="auto"/>
        <w:bottom w:val="none" w:sz="0" w:space="0" w:color="auto"/>
        <w:right w:val="none" w:sz="0" w:space="0" w:color="auto"/>
      </w:divBdr>
    </w:div>
    <w:div w:id="1788502906">
      <w:bodyDiv w:val="1"/>
      <w:marLeft w:val="0"/>
      <w:marRight w:val="0"/>
      <w:marTop w:val="0"/>
      <w:marBottom w:val="0"/>
      <w:divBdr>
        <w:top w:val="none" w:sz="0" w:space="0" w:color="auto"/>
        <w:left w:val="none" w:sz="0" w:space="0" w:color="auto"/>
        <w:bottom w:val="none" w:sz="0" w:space="0" w:color="auto"/>
        <w:right w:val="none" w:sz="0" w:space="0" w:color="auto"/>
      </w:divBdr>
    </w:div>
    <w:div w:id="1795710148">
      <w:bodyDiv w:val="1"/>
      <w:marLeft w:val="0"/>
      <w:marRight w:val="0"/>
      <w:marTop w:val="0"/>
      <w:marBottom w:val="0"/>
      <w:divBdr>
        <w:top w:val="none" w:sz="0" w:space="0" w:color="auto"/>
        <w:left w:val="none" w:sz="0" w:space="0" w:color="auto"/>
        <w:bottom w:val="none" w:sz="0" w:space="0" w:color="auto"/>
        <w:right w:val="none" w:sz="0" w:space="0" w:color="auto"/>
      </w:divBdr>
    </w:div>
    <w:div w:id="1821652399">
      <w:bodyDiv w:val="1"/>
      <w:marLeft w:val="0"/>
      <w:marRight w:val="0"/>
      <w:marTop w:val="0"/>
      <w:marBottom w:val="0"/>
      <w:divBdr>
        <w:top w:val="none" w:sz="0" w:space="0" w:color="auto"/>
        <w:left w:val="none" w:sz="0" w:space="0" w:color="auto"/>
        <w:bottom w:val="none" w:sz="0" w:space="0" w:color="auto"/>
        <w:right w:val="none" w:sz="0" w:space="0" w:color="auto"/>
      </w:divBdr>
    </w:div>
    <w:div w:id="1881235872">
      <w:bodyDiv w:val="1"/>
      <w:marLeft w:val="0"/>
      <w:marRight w:val="0"/>
      <w:marTop w:val="0"/>
      <w:marBottom w:val="0"/>
      <w:divBdr>
        <w:top w:val="none" w:sz="0" w:space="0" w:color="auto"/>
        <w:left w:val="none" w:sz="0" w:space="0" w:color="auto"/>
        <w:bottom w:val="none" w:sz="0" w:space="0" w:color="auto"/>
        <w:right w:val="none" w:sz="0" w:space="0" w:color="auto"/>
      </w:divBdr>
    </w:div>
    <w:div w:id="1954048426">
      <w:bodyDiv w:val="1"/>
      <w:marLeft w:val="0"/>
      <w:marRight w:val="0"/>
      <w:marTop w:val="0"/>
      <w:marBottom w:val="0"/>
      <w:divBdr>
        <w:top w:val="none" w:sz="0" w:space="0" w:color="auto"/>
        <w:left w:val="none" w:sz="0" w:space="0" w:color="auto"/>
        <w:bottom w:val="none" w:sz="0" w:space="0" w:color="auto"/>
        <w:right w:val="none" w:sz="0" w:space="0" w:color="auto"/>
      </w:divBdr>
    </w:div>
    <w:div w:id="1959220943">
      <w:bodyDiv w:val="1"/>
      <w:marLeft w:val="0"/>
      <w:marRight w:val="0"/>
      <w:marTop w:val="0"/>
      <w:marBottom w:val="0"/>
      <w:divBdr>
        <w:top w:val="none" w:sz="0" w:space="0" w:color="auto"/>
        <w:left w:val="none" w:sz="0" w:space="0" w:color="auto"/>
        <w:bottom w:val="none" w:sz="0" w:space="0" w:color="auto"/>
        <w:right w:val="none" w:sz="0" w:space="0" w:color="auto"/>
      </w:divBdr>
    </w:div>
    <w:div w:id="2016806431">
      <w:bodyDiv w:val="1"/>
      <w:marLeft w:val="0"/>
      <w:marRight w:val="0"/>
      <w:marTop w:val="0"/>
      <w:marBottom w:val="0"/>
      <w:divBdr>
        <w:top w:val="none" w:sz="0" w:space="0" w:color="auto"/>
        <w:left w:val="none" w:sz="0" w:space="0" w:color="auto"/>
        <w:bottom w:val="none" w:sz="0" w:space="0" w:color="auto"/>
        <w:right w:val="none" w:sz="0" w:space="0" w:color="auto"/>
      </w:divBdr>
    </w:div>
    <w:div w:id="20473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3505539" TargetMode="External"/><Relationship Id="rId18" Type="http://schemas.openxmlformats.org/officeDocument/2006/relationships/hyperlink" Target="https://papers.ssrn.com/sol3/papers.cfm?abstract_id=4422699" TargetMode="External"/><Relationship Id="rId26" Type="http://schemas.openxmlformats.org/officeDocument/2006/relationships/hyperlink" Target="https://link.springer.com/article/10.1186/s41235-019-0163-6" TargetMode="External"/><Relationship Id="rId21" Type="http://schemas.openxmlformats.org/officeDocument/2006/relationships/hyperlink" Target="https://onlinelibrary.wiley.com/doi/abs/10.1111/cogs.13271?casa_token=RGZefhLODAsAAAAA%3AzmlYpAI5ARoAHsDuiN0L-eiX-5k5MvbRP7AzGwlXPtdsmDiKiU7cc3TX1fb-x9IY6ZKs6f6qlnFl_5JC"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jdsupra.com/legalnews/treat-the-reasonable-person-not-as-an-1928477/" TargetMode="External"/><Relationship Id="rId17" Type="http://schemas.openxmlformats.org/officeDocument/2006/relationships/hyperlink" Target="https://doi.org/10.3758/s13421-024-01630-8" TargetMode="External"/><Relationship Id="rId25" Type="http://schemas.openxmlformats.org/officeDocument/2006/relationships/hyperlink" Target="https://papers.ssrn.com/sol3/papers.cfm?abstract_id=3626163" TargetMode="External"/><Relationship Id="rId33" Type="http://schemas.openxmlformats.org/officeDocument/2006/relationships/hyperlink" Target="https://www.youtube.com/watch?v=QeAnIfKoUpE" TargetMode="External"/><Relationship Id="rId2" Type="http://schemas.openxmlformats.org/officeDocument/2006/relationships/numbering" Target="numbering.xml"/><Relationship Id="rId16" Type="http://schemas.openxmlformats.org/officeDocument/2006/relationships/hyperlink" Target="https://www.sciencedirect.com/science/article/pii/S1053810026000528" TargetMode="External"/><Relationship Id="rId20" Type="http://schemas.openxmlformats.org/officeDocument/2006/relationships/hyperlink" Target="https://psycnet.apa.org/record/2022-47581-001" TargetMode="External"/><Relationship Id="rId29" Type="http://schemas.openxmlformats.org/officeDocument/2006/relationships/hyperlink" Target="https://papers.ssrn.com/sol3/papers.cfm?abstract_id=4476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3686146" TargetMode="External"/><Relationship Id="rId24" Type="http://schemas.openxmlformats.org/officeDocument/2006/relationships/hyperlink" Target="https://www.ingentaconnect.com/content/stc/tc/2021/00000068/00000001/art00005" TargetMode="External"/><Relationship Id="rId32" Type="http://schemas.openxmlformats.org/officeDocument/2006/relationships/hyperlink" Target="https://news.web.baylor.edu/news/story/2025/baylor-university-honors-outstanding-faculty-2024-202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pers.ssrn.com/sol3/papers.cfm?abstract_id=3096210" TargetMode="External"/><Relationship Id="rId23" Type="http://schemas.openxmlformats.org/officeDocument/2006/relationships/hyperlink" Target="https://psycnet.apa.org/record/2022-93044-001" TargetMode="External"/><Relationship Id="rId28" Type="http://schemas.openxmlformats.org/officeDocument/2006/relationships/hyperlink" Target="https://papers.ssrn.com/sol3/papers.cfm?abstract_id=3097129" TargetMode="External"/><Relationship Id="rId36" Type="http://schemas.openxmlformats.org/officeDocument/2006/relationships/fontTable" Target="fontTable.xml"/><Relationship Id="rId10" Type="http://schemas.openxmlformats.org/officeDocument/2006/relationships/hyperlink" Target="https://papers.ssrn.com/sol3/papers.cfm?abstract_id=4753233" TargetMode="External"/><Relationship Id="rId19" Type="http://schemas.openxmlformats.org/officeDocument/2006/relationships/hyperlink" Target="https://link.springer.com/content/pdf/10.1186/s41235-024-00604-3.pdf" TargetMode="External"/><Relationship Id="rId31" Type="http://schemas.openxmlformats.org/officeDocument/2006/relationships/hyperlink" Target="https://www.aals.org/new-faculty/scholarly-papers/" TargetMode="External"/><Relationship Id="rId4" Type="http://schemas.openxmlformats.org/officeDocument/2006/relationships/settings" Target="settings.xml"/><Relationship Id="rId9" Type="http://schemas.openxmlformats.org/officeDocument/2006/relationships/hyperlink" Target="https://www.aals.org/new-faculty/scholarly-papers/" TargetMode="External"/><Relationship Id="rId14" Type="http://schemas.openxmlformats.org/officeDocument/2006/relationships/hyperlink" Target="https://papers.ssrn.com/sol3/papers.cfm?abstract_id=3096334" TargetMode="External"/><Relationship Id="rId22" Type="http://schemas.openxmlformats.org/officeDocument/2006/relationships/hyperlink" Target="https://www.researchgate.net/publication/371954791_When_searching_helps_you_see_Bridging_the_gap_between_incidental_and_intentional_change_detection" TargetMode="External"/><Relationship Id="rId27" Type="http://schemas.openxmlformats.org/officeDocument/2006/relationships/hyperlink" Target="https://papers.ssrn.com/sol3/papers.cfm?abstract_id=3096214" TargetMode="External"/><Relationship Id="rId30" Type="http://schemas.openxmlformats.org/officeDocument/2006/relationships/hyperlink" Target="https://www.semanticscholar.org/paper/The-Power-of-Sequence%3A-A-Quantum-Perspective-on-Jaeger-Trueblood/e85efd572282109c168bdf35630e035a175219c3" TargetMode="External"/><Relationship Id="rId35" Type="http://schemas.openxmlformats.org/officeDocument/2006/relationships/footer" Target="footer2.xml"/><Relationship Id="rId8" Type="http://schemas.openxmlformats.org/officeDocument/2006/relationships/hyperlink" Target="https://papers.ssrn.com/sol3/papers.cfm?abstract_id=513654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D56A-BBBB-9F45-8D7F-39ED83AD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9</Pages>
  <Words>2960</Words>
  <Characters>18778</Characters>
  <Application>Microsoft Office Word</Application>
  <DocSecurity>0</DocSecurity>
  <Lines>402</Lines>
  <Paragraphs>165</Paragraphs>
  <ScaleCrop>false</ScaleCrop>
  <HeadingPairs>
    <vt:vector size="2" baseType="variant">
      <vt:variant>
        <vt:lpstr>Title</vt:lpstr>
      </vt:variant>
      <vt:variant>
        <vt:i4>1</vt:i4>
      </vt:variant>
    </vt:vector>
  </HeadingPairs>
  <TitlesOfParts>
    <vt:vector size="1" baseType="lpstr">
      <vt:lpstr>CHRISTOPHER B</vt:lpstr>
    </vt:vector>
  </TitlesOfParts>
  <Company>Vanderbilt University Law School</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B</dc:title>
  <dc:subject/>
  <dc:creator>chapmaaw</dc:creator>
  <cp:keywords/>
  <cp:lastModifiedBy>Jaeger, Chris</cp:lastModifiedBy>
  <cp:revision>5</cp:revision>
  <cp:lastPrinted>2020-08-03T18:20:00Z</cp:lastPrinted>
  <dcterms:created xsi:type="dcterms:W3CDTF">2026-03-24T14:45:00Z</dcterms:created>
  <dcterms:modified xsi:type="dcterms:W3CDTF">2026-03-25T23:00:00Z</dcterms:modified>
</cp:coreProperties>
</file>