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5B1E" w14:textId="77777777" w:rsidR="00465A73" w:rsidRPr="00CD57F6" w:rsidRDefault="00465A73">
      <w:pPr>
        <w:widowControl w:val="0"/>
        <w:jc w:val="center"/>
        <w:rPr>
          <w:sz w:val="28"/>
          <w:szCs w:val="28"/>
        </w:rPr>
      </w:pPr>
      <w:r w:rsidRPr="00CD57F6">
        <w:rPr>
          <w:b/>
          <w:sz w:val="28"/>
          <w:szCs w:val="28"/>
          <w:u w:val="single"/>
        </w:rPr>
        <w:t>Luke Meier</w:t>
      </w:r>
    </w:p>
    <w:p w14:paraId="5536827C" w14:textId="77777777" w:rsidR="00EA42A0" w:rsidRDefault="00EA42A0" w:rsidP="00EA42A0">
      <w:pPr>
        <w:widowControl w:val="0"/>
        <w:contextualSpacing/>
        <w:jc w:val="center"/>
        <w:rPr>
          <w:sz w:val="22"/>
          <w:szCs w:val="22"/>
        </w:rPr>
      </w:pPr>
      <w:r w:rsidRPr="00EA42A0">
        <w:rPr>
          <w:sz w:val="22"/>
          <w:szCs w:val="22"/>
        </w:rPr>
        <w:t xml:space="preserve">Baylor </w:t>
      </w:r>
      <w:r w:rsidR="00540F75">
        <w:rPr>
          <w:sz w:val="22"/>
          <w:szCs w:val="22"/>
        </w:rPr>
        <w:t>Law School</w:t>
      </w:r>
    </w:p>
    <w:p w14:paraId="2738C12A" w14:textId="77777777" w:rsidR="00EA42A0" w:rsidRDefault="00EA42A0" w:rsidP="00EA42A0">
      <w:pPr>
        <w:widowControl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1114 South University Parks Dr.</w:t>
      </w:r>
    </w:p>
    <w:p w14:paraId="4757343C" w14:textId="77777777" w:rsidR="00EA42A0" w:rsidRDefault="00EA42A0" w:rsidP="00EA42A0">
      <w:pPr>
        <w:widowControl w:val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Waco, Texas 76798</w:t>
      </w:r>
    </w:p>
    <w:p w14:paraId="777BC2AD" w14:textId="77777777" w:rsidR="00940C74" w:rsidRDefault="00CA49A1" w:rsidP="000C73C8">
      <w:pPr>
        <w:widowControl w:val="0"/>
        <w:contextualSpacing/>
        <w:jc w:val="center"/>
        <w:rPr>
          <w:sz w:val="22"/>
          <w:szCs w:val="22"/>
        </w:rPr>
      </w:pPr>
      <w:hyperlink r:id="rId7" w:history="1">
        <w:r w:rsidR="000C73C8" w:rsidRPr="00E93680">
          <w:rPr>
            <w:rStyle w:val="Hyperlink"/>
            <w:sz w:val="22"/>
            <w:szCs w:val="22"/>
          </w:rPr>
          <w:t>Luke_Meier@Baylor.edu</w:t>
        </w:r>
      </w:hyperlink>
    </w:p>
    <w:p w14:paraId="61E861BA" w14:textId="77777777" w:rsidR="000C73C8" w:rsidRPr="000C73C8" w:rsidRDefault="000C73C8" w:rsidP="000C73C8">
      <w:pPr>
        <w:widowControl w:val="0"/>
        <w:contextualSpacing/>
        <w:jc w:val="center"/>
        <w:rPr>
          <w:sz w:val="22"/>
          <w:szCs w:val="22"/>
        </w:rPr>
      </w:pPr>
    </w:p>
    <w:p w14:paraId="2AFA1894" w14:textId="77777777" w:rsidR="00465A73" w:rsidRPr="00A21744" w:rsidRDefault="00465A73">
      <w:pPr>
        <w:widowControl w:val="0"/>
        <w:rPr>
          <w:sz w:val="24"/>
          <w:szCs w:val="24"/>
          <w:u w:val="single"/>
        </w:rPr>
      </w:pPr>
      <w:r w:rsidRPr="00A21744">
        <w:rPr>
          <w:b/>
          <w:sz w:val="24"/>
          <w:szCs w:val="24"/>
          <w:u w:val="single"/>
        </w:rPr>
        <w:t>Education</w:t>
      </w:r>
    </w:p>
    <w:p w14:paraId="578DB0D8" w14:textId="77777777" w:rsidR="00465A73" w:rsidRPr="00A21744" w:rsidRDefault="00465A73">
      <w:pPr>
        <w:widowControl w:val="0"/>
      </w:pPr>
      <w:r w:rsidRPr="00A21744">
        <w:tab/>
        <w:t>1997-2000</w:t>
      </w:r>
      <w:r w:rsidRPr="00A21744">
        <w:tab/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A21744">
            <w:t>Texas</w:t>
          </w:r>
        </w:smartTag>
        <w:r w:rsidRPr="00A21744">
          <w:t xml:space="preserve"> </w:t>
        </w:r>
        <w:smartTag w:uri="urn:schemas-microsoft-com:office:smarttags" w:element="PlaceType">
          <w:r w:rsidRPr="00A21744">
            <w:t>School</w:t>
          </w:r>
        </w:smartTag>
      </w:smartTag>
      <w:r w:rsidRPr="00A21744">
        <w:t xml:space="preserve"> of Law</w:t>
      </w:r>
    </w:p>
    <w:p w14:paraId="71C62874" w14:textId="77777777" w:rsidR="00465A73" w:rsidRPr="00A21744" w:rsidRDefault="00465A73" w:rsidP="009F4889">
      <w:pPr>
        <w:widowControl w:val="0"/>
        <w:ind w:left="2880"/>
      </w:pPr>
      <w:r w:rsidRPr="00A21744">
        <w:t xml:space="preserve">-Graduated with High Honors </w:t>
      </w:r>
    </w:p>
    <w:p w14:paraId="5A0AF01C" w14:textId="77777777" w:rsidR="00B4742D" w:rsidRPr="00A21744" w:rsidRDefault="00815743" w:rsidP="00756196">
      <w:pPr>
        <w:widowControl w:val="0"/>
        <w:ind w:left="2880"/>
      </w:pPr>
      <w:r>
        <w:t>-Chancellors Honorary Society</w:t>
      </w:r>
    </w:p>
    <w:p w14:paraId="70AA59AE" w14:textId="77777777" w:rsidR="00CF1930" w:rsidRPr="00A21744" w:rsidRDefault="00CF1930">
      <w:pPr>
        <w:widowControl w:val="0"/>
        <w:rPr>
          <w:i/>
        </w:rPr>
      </w:pPr>
      <w:r w:rsidRPr="00A21744">
        <w:tab/>
      </w:r>
      <w:r w:rsidRPr="00A21744">
        <w:tab/>
      </w:r>
      <w:r w:rsidRPr="00A21744">
        <w:tab/>
      </w:r>
      <w:r w:rsidRPr="00A21744">
        <w:tab/>
        <w:t>-</w:t>
      </w:r>
      <w:smartTag w:uri="urn:schemas-microsoft-com:office:smarttags" w:element="place">
        <w:smartTag w:uri="urn:schemas-microsoft-com:office:smarttags" w:element="City">
          <w:r w:rsidRPr="00A21744">
            <w:t>Managing Editor</w:t>
          </w:r>
        </w:smartTag>
        <w:r w:rsidRPr="00A21744">
          <w:t xml:space="preserve">, </w:t>
        </w:r>
        <w:smartTag w:uri="urn:schemas-microsoft-com:office:smarttags" w:element="State">
          <w:r w:rsidRPr="00A21744">
            <w:rPr>
              <w:i/>
            </w:rPr>
            <w:t>Texas</w:t>
          </w:r>
        </w:smartTag>
      </w:smartTag>
      <w:r w:rsidRPr="00A21744">
        <w:rPr>
          <w:i/>
        </w:rPr>
        <w:t xml:space="preserve"> Law Review</w:t>
      </w:r>
    </w:p>
    <w:p w14:paraId="523F5D8C" w14:textId="77777777" w:rsidR="00935B67" w:rsidRPr="00A21744" w:rsidRDefault="00935B67" w:rsidP="00935B67">
      <w:pPr>
        <w:widowControl w:val="0"/>
        <w:ind w:left="2160" w:firstLine="720"/>
      </w:pPr>
      <w:r w:rsidRPr="00A21744">
        <w:rPr>
          <w:i/>
        </w:rPr>
        <w:t>-</w:t>
      </w:r>
      <w:r w:rsidRPr="00A21744">
        <w:t>Research Assistant, Professor Charles Alan Wright</w:t>
      </w:r>
    </w:p>
    <w:p w14:paraId="63F4AF14" w14:textId="77777777" w:rsidR="00B94415" w:rsidRPr="00A21744" w:rsidRDefault="00B94415" w:rsidP="00935B67">
      <w:pPr>
        <w:widowControl w:val="0"/>
        <w:ind w:left="2160" w:firstLine="720"/>
        <w:rPr>
          <w:i/>
        </w:rPr>
      </w:pPr>
      <w:r w:rsidRPr="00A21744">
        <w:t>-Researc</w:t>
      </w:r>
      <w:r w:rsidR="00935B67">
        <w:t>h Assistant, Profe</w:t>
      </w:r>
      <w:r w:rsidRPr="00A21744">
        <w:t>s</w:t>
      </w:r>
      <w:r w:rsidR="00935B67">
        <w:t>s</w:t>
      </w:r>
      <w:r w:rsidRPr="00A21744">
        <w:t>or Bill Powers</w:t>
      </w:r>
      <w:r w:rsidRPr="00A21744">
        <w:rPr>
          <w:i/>
        </w:rPr>
        <w:t xml:space="preserve"> </w:t>
      </w:r>
    </w:p>
    <w:p w14:paraId="3CED8FB2" w14:textId="77777777" w:rsidR="00CF1930" w:rsidRDefault="00CF1930">
      <w:pPr>
        <w:widowControl w:val="0"/>
      </w:pPr>
      <w:r w:rsidRPr="00A21744">
        <w:tab/>
      </w:r>
      <w:r w:rsidRPr="00A21744">
        <w:tab/>
      </w:r>
      <w:r w:rsidRPr="00A21744">
        <w:tab/>
      </w:r>
      <w:r w:rsidRPr="00A21744">
        <w:tab/>
        <w:t>-Order of the Coif</w:t>
      </w:r>
    </w:p>
    <w:p w14:paraId="00AE7C0E" w14:textId="77777777" w:rsidR="00935B67" w:rsidRPr="00A21744" w:rsidRDefault="00935B67">
      <w:pPr>
        <w:widowControl w:val="0"/>
      </w:pPr>
    </w:p>
    <w:p w14:paraId="40D9D723" w14:textId="77777777" w:rsidR="00465A73" w:rsidRPr="00A21744" w:rsidRDefault="00465A73">
      <w:pPr>
        <w:widowControl w:val="0"/>
      </w:pPr>
      <w:r w:rsidRPr="00A21744">
        <w:tab/>
        <w:t>1993-1997</w:t>
      </w:r>
      <w:r w:rsidRPr="00A21744">
        <w:tab/>
        <w:t>Kansas State University</w:t>
      </w:r>
    </w:p>
    <w:p w14:paraId="001F4072" w14:textId="77777777" w:rsidR="00BA3D8D" w:rsidRPr="00A21744" w:rsidRDefault="00465A73" w:rsidP="00BA3D8D">
      <w:pPr>
        <w:widowControl w:val="0"/>
        <w:ind w:left="2880"/>
      </w:pPr>
      <w:r w:rsidRPr="00A21744">
        <w:t>-Graduated cum laude with B</w:t>
      </w:r>
      <w:r w:rsidR="00BA3D8D" w:rsidRPr="00A21744">
        <w:t>achelor of Science in Political</w:t>
      </w:r>
    </w:p>
    <w:p w14:paraId="49F8157A" w14:textId="77777777" w:rsidR="00465A73" w:rsidRPr="00A21744" w:rsidRDefault="00BA3D8D" w:rsidP="00BA3D8D">
      <w:pPr>
        <w:widowControl w:val="0"/>
        <w:ind w:left="2880"/>
      </w:pPr>
      <w:r w:rsidRPr="00A21744">
        <w:t xml:space="preserve">  </w:t>
      </w:r>
      <w:r w:rsidR="00465A73" w:rsidRPr="00A21744">
        <w:t>Science and History</w:t>
      </w:r>
    </w:p>
    <w:p w14:paraId="4D5CCEC6" w14:textId="77777777" w:rsidR="00940C74" w:rsidRDefault="00940C74">
      <w:pPr>
        <w:widowControl w:val="0"/>
        <w:rPr>
          <w:b/>
          <w:sz w:val="28"/>
          <w:szCs w:val="28"/>
          <w:u w:val="single"/>
        </w:rPr>
      </w:pPr>
    </w:p>
    <w:p w14:paraId="7C7567E7" w14:textId="77777777" w:rsidR="00D9302E" w:rsidRPr="00A21744" w:rsidRDefault="001E1B8C">
      <w:pPr>
        <w:widowContro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Academic </w:t>
      </w:r>
      <w:r w:rsidR="00D9302E" w:rsidRPr="00A21744">
        <w:rPr>
          <w:b/>
          <w:sz w:val="24"/>
          <w:szCs w:val="24"/>
          <w:u w:val="single"/>
        </w:rPr>
        <w:t>Appointments</w:t>
      </w:r>
    </w:p>
    <w:p w14:paraId="3F20114A" w14:textId="77777777" w:rsidR="00EA42A0" w:rsidRDefault="00EA42A0" w:rsidP="00BA3D8D">
      <w:pPr>
        <w:widowControl w:val="0"/>
        <w:ind w:left="2160" w:hanging="1440"/>
      </w:pPr>
      <w:r>
        <w:t>2010</w:t>
      </w:r>
      <w:r w:rsidR="00540F75">
        <w:t>-present</w:t>
      </w:r>
      <w:r>
        <w:tab/>
      </w:r>
      <w:r w:rsidR="00540F75">
        <w:t>Professor of Law, Baylor Law School</w:t>
      </w:r>
    </w:p>
    <w:p w14:paraId="4C440DD6" w14:textId="77777777" w:rsidR="00540F75" w:rsidRDefault="001F2E6E" w:rsidP="00BA3D8D">
      <w:pPr>
        <w:widowControl w:val="0"/>
        <w:ind w:left="2160" w:hanging="1440"/>
      </w:pPr>
      <w:r>
        <w:tab/>
      </w:r>
      <w:r>
        <w:tab/>
        <w:t>(</w:t>
      </w:r>
      <w:r w:rsidR="00540F75">
        <w:t>Property, Appellate Advocacy</w:t>
      </w:r>
      <w:r w:rsidR="00FB535F">
        <w:t xml:space="preserve">, </w:t>
      </w:r>
      <w:r w:rsidR="00C40C8A">
        <w:t xml:space="preserve">Torts, </w:t>
      </w:r>
      <w:r w:rsidR="00FB535F">
        <w:t>Conflicts of Law</w:t>
      </w:r>
      <w:r w:rsidR="00C40C8A">
        <w:t>, Antitrust</w:t>
      </w:r>
      <w:r>
        <w:t>)</w:t>
      </w:r>
    </w:p>
    <w:p w14:paraId="69D3AF4B" w14:textId="77777777" w:rsidR="00540F75" w:rsidRDefault="000F4C10" w:rsidP="00BA3D8D">
      <w:pPr>
        <w:widowControl w:val="0"/>
        <w:ind w:left="2160" w:hanging="1440"/>
      </w:pPr>
      <w:r>
        <w:tab/>
      </w:r>
      <w:r>
        <w:tab/>
        <w:t>-2013 Baylor University Outstanding Professor for Research</w:t>
      </w:r>
    </w:p>
    <w:p w14:paraId="78F8C74E" w14:textId="77777777" w:rsidR="000F4C10" w:rsidRDefault="000F4C10" w:rsidP="00BA3D8D">
      <w:pPr>
        <w:widowControl w:val="0"/>
        <w:ind w:left="2160" w:hanging="1440"/>
      </w:pPr>
    </w:p>
    <w:p w14:paraId="7B02ED39" w14:textId="77777777" w:rsidR="00577816" w:rsidRPr="00A21744" w:rsidRDefault="00577816" w:rsidP="00BA3D8D">
      <w:pPr>
        <w:widowControl w:val="0"/>
        <w:ind w:left="2160" w:hanging="1440"/>
      </w:pPr>
      <w:r w:rsidRPr="00A21744">
        <w:t>2007</w:t>
      </w:r>
      <w:r w:rsidR="00540F75">
        <w:t>-10</w:t>
      </w:r>
      <w:r w:rsidRPr="00A21744">
        <w:tab/>
        <w:t>Assistant Professor of Law, Drake University Law School</w:t>
      </w:r>
    </w:p>
    <w:p w14:paraId="3A53A782" w14:textId="77777777" w:rsidR="00A21045" w:rsidRDefault="001F2E6E" w:rsidP="00A21045">
      <w:pPr>
        <w:widowControl w:val="0"/>
        <w:ind w:left="2160" w:firstLine="720"/>
      </w:pPr>
      <w:r>
        <w:t>(</w:t>
      </w:r>
      <w:r w:rsidR="00577816" w:rsidRPr="00A21744">
        <w:t>Property,</w:t>
      </w:r>
      <w:r w:rsidR="006161AB">
        <w:t xml:space="preserve"> </w:t>
      </w:r>
      <w:r w:rsidR="00A21045">
        <w:t xml:space="preserve">Civil Procedure, </w:t>
      </w:r>
      <w:r w:rsidR="006161AB">
        <w:t>Water Law,</w:t>
      </w:r>
      <w:r w:rsidR="00577816" w:rsidRPr="00A21744">
        <w:t xml:space="preserve"> Natural Resources, </w:t>
      </w:r>
      <w:r w:rsidR="00A21045" w:rsidRPr="00A21744">
        <w:t>Federal Courts,</w:t>
      </w:r>
    </w:p>
    <w:p w14:paraId="364DED2F" w14:textId="77777777" w:rsidR="00577816" w:rsidRPr="00A21744" w:rsidRDefault="00A21045" w:rsidP="00A21045">
      <w:pPr>
        <w:widowControl w:val="0"/>
        <w:ind w:left="2160" w:firstLine="720"/>
      </w:pPr>
      <w:r>
        <w:t xml:space="preserve">  </w:t>
      </w:r>
      <w:r w:rsidR="00577816" w:rsidRPr="00A21744">
        <w:t>American Legal</w:t>
      </w:r>
      <w:r>
        <w:t xml:space="preserve"> </w:t>
      </w:r>
      <w:r w:rsidR="00577816" w:rsidRPr="00A21744">
        <w:t>History</w:t>
      </w:r>
      <w:r w:rsidR="00BF6D10">
        <w:t>)</w:t>
      </w:r>
    </w:p>
    <w:p w14:paraId="6690FE70" w14:textId="77777777" w:rsidR="000C73C8" w:rsidRDefault="00540F75" w:rsidP="00BA3D8D">
      <w:pPr>
        <w:widowControl w:val="0"/>
        <w:ind w:left="2160" w:hanging="1440"/>
      </w:pPr>
      <w:r>
        <w:tab/>
      </w:r>
      <w:r w:rsidR="000C73C8">
        <w:tab/>
        <w:t>-2010 Leland Forrest Outstanding Professor (</w:t>
      </w:r>
      <w:r w:rsidR="00FB535F">
        <w:t xml:space="preserve">as voted </w:t>
      </w:r>
      <w:r w:rsidR="000C73C8">
        <w:t>by graduating class)</w:t>
      </w:r>
    </w:p>
    <w:p w14:paraId="637DEAC6" w14:textId="77777777" w:rsidR="00577816" w:rsidRPr="00A21744" w:rsidRDefault="00540F75" w:rsidP="00BA3D8D">
      <w:pPr>
        <w:widowControl w:val="0"/>
        <w:ind w:left="2160" w:hanging="1440"/>
      </w:pPr>
      <w:r>
        <w:tab/>
      </w:r>
    </w:p>
    <w:p w14:paraId="70A490D5" w14:textId="77777777" w:rsidR="00D9302E" w:rsidRPr="00A21744" w:rsidRDefault="00540F75" w:rsidP="00BA3D8D">
      <w:pPr>
        <w:widowControl w:val="0"/>
        <w:ind w:left="2160" w:hanging="1440"/>
      </w:pPr>
      <w:r>
        <w:t>2005-</w:t>
      </w:r>
      <w:r w:rsidR="002249ED" w:rsidRPr="00A21744">
        <w:t>07</w:t>
      </w:r>
      <w:r w:rsidR="00D9302E" w:rsidRPr="00A21744">
        <w:tab/>
        <w:t>Visiting Assistant Professor of Law, University of Nebraska College of Law</w:t>
      </w:r>
    </w:p>
    <w:p w14:paraId="74553296" w14:textId="77777777" w:rsidR="00BA3D8D" w:rsidRPr="00A21744" w:rsidRDefault="00BF6D10" w:rsidP="00BA3D8D">
      <w:pPr>
        <w:widowControl w:val="0"/>
        <w:ind w:left="2880"/>
      </w:pPr>
      <w:r>
        <w:t>(</w:t>
      </w:r>
      <w:r w:rsidR="00991C1C" w:rsidRPr="00A21744">
        <w:t xml:space="preserve">Torts, </w:t>
      </w:r>
      <w:r w:rsidR="00D9302E" w:rsidRPr="00A21744">
        <w:t>Land Use Planning, American Legal History, Corporations,</w:t>
      </w:r>
      <w:r w:rsidR="002249ED" w:rsidRPr="00A21744">
        <w:t xml:space="preserve"> </w:t>
      </w:r>
    </w:p>
    <w:p w14:paraId="0382A466" w14:textId="77777777" w:rsidR="00D9302E" w:rsidRPr="00A21744" w:rsidRDefault="00A21045" w:rsidP="00D079BF">
      <w:pPr>
        <w:widowControl w:val="0"/>
        <w:ind w:left="2880"/>
      </w:pPr>
      <w:r>
        <w:t xml:space="preserve">  </w:t>
      </w:r>
      <w:r w:rsidR="00D9302E" w:rsidRPr="00A21744">
        <w:t>Constitutional</w:t>
      </w:r>
      <w:r w:rsidR="002249ED" w:rsidRPr="00A21744">
        <w:t xml:space="preserve"> </w:t>
      </w:r>
      <w:r w:rsidR="00D9302E" w:rsidRPr="00A21744">
        <w:t>Law II</w:t>
      </w:r>
      <w:r w:rsidR="00BF6D10">
        <w:t>)</w:t>
      </w:r>
    </w:p>
    <w:p w14:paraId="45E992EE" w14:textId="77777777" w:rsidR="00A21744" w:rsidRPr="00A21744" w:rsidRDefault="00577816" w:rsidP="00BA3D8D">
      <w:pPr>
        <w:widowControl w:val="0"/>
        <w:ind w:left="2880"/>
      </w:pPr>
      <w:r w:rsidRPr="00A21744">
        <w:t>-</w:t>
      </w:r>
      <w:r w:rsidR="00A21744" w:rsidRPr="00A21744">
        <w:t xml:space="preserve">2006-07 </w:t>
      </w:r>
      <w:r w:rsidR="00E86203">
        <w:t>First-</w:t>
      </w:r>
      <w:r w:rsidRPr="00A21744">
        <w:t>Year Professor of the Year</w:t>
      </w:r>
      <w:r w:rsidR="00A21744" w:rsidRPr="00A21744">
        <w:t xml:space="preserve"> (as voted by first-year</w:t>
      </w:r>
    </w:p>
    <w:p w14:paraId="2CB67EF1" w14:textId="77777777" w:rsidR="00577816" w:rsidRPr="00A21744" w:rsidRDefault="00A21744" w:rsidP="00BA3D8D">
      <w:pPr>
        <w:widowControl w:val="0"/>
        <w:ind w:left="2880"/>
      </w:pPr>
      <w:r w:rsidRPr="00A21744">
        <w:t xml:space="preserve">  students)</w:t>
      </w:r>
    </w:p>
    <w:p w14:paraId="7030AC27" w14:textId="77777777" w:rsidR="00A21744" w:rsidRPr="00A21744" w:rsidRDefault="00A21744" w:rsidP="00A21744">
      <w:pPr>
        <w:widowControl w:val="0"/>
        <w:ind w:left="2880"/>
      </w:pPr>
      <w:r w:rsidRPr="00A21744">
        <w:t>-2006-07 Upper-Class Professor of the Year (as voted by second</w:t>
      </w:r>
    </w:p>
    <w:p w14:paraId="164954BF" w14:textId="77777777" w:rsidR="00BA3D8D" w:rsidRPr="00A21744" w:rsidRDefault="00A21744" w:rsidP="00A21744">
      <w:pPr>
        <w:widowControl w:val="0"/>
        <w:ind w:left="2880"/>
      </w:pPr>
      <w:r w:rsidRPr="00A21744">
        <w:t xml:space="preserve">  and third-year students)</w:t>
      </w:r>
    </w:p>
    <w:p w14:paraId="1644F18A" w14:textId="77777777" w:rsidR="00940C74" w:rsidRPr="00BA3D8D" w:rsidRDefault="00940C74" w:rsidP="00BA3D8D">
      <w:pPr>
        <w:widowControl w:val="0"/>
        <w:ind w:left="1440" w:firstLine="720"/>
        <w:rPr>
          <w:sz w:val="24"/>
          <w:szCs w:val="24"/>
        </w:rPr>
      </w:pPr>
    </w:p>
    <w:p w14:paraId="6DF2FFEA" w14:textId="77777777" w:rsidR="00465A73" w:rsidRPr="00A21744" w:rsidRDefault="00D9302E">
      <w:pPr>
        <w:widowControl w:val="0"/>
        <w:rPr>
          <w:b/>
          <w:sz w:val="24"/>
          <w:szCs w:val="24"/>
          <w:u w:val="single"/>
        </w:rPr>
      </w:pPr>
      <w:r w:rsidRPr="00A21744">
        <w:rPr>
          <w:b/>
          <w:sz w:val="24"/>
          <w:szCs w:val="24"/>
          <w:u w:val="single"/>
        </w:rPr>
        <w:t>Professional</w:t>
      </w:r>
      <w:r w:rsidR="00465A73" w:rsidRPr="00A21744">
        <w:rPr>
          <w:b/>
          <w:sz w:val="24"/>
          <w:szCs w:val="24"/>
          <w:u w:val="single"/>
        </w:rPr>
        <w:t xml:space="preserve"> Experience</w:t>
      </w:r>
    </w:p>
    <w:p w14:paraId="1E50AA79" w14:textId="77777777" w:rsidR="002812D1" w:rsidRDefault="002812D1" w:rsidP="002812D1">
      <w:pPr>
        <w:widowControl w:val="0"/>
        <w:ind w:left="2160" w:hanging="1440"/>
      </w:pPr>
      <w:r w:rsidRPr="00A21744">
        <w:t>2000-2001</w:t>
      </w:r>
      <w:r w:rsidRPr="00A21744">
        <w:tab/>
        <w:t xml:space="preserve">Clerk, Judge Michael Murphy, United States Court of Appeals for the Tenth Circuit, </w:t>
      </w:r>
      <w:smartTag w:uri="urn:schemas-microsoft-com:office:smarttags" w:element="City">
        <w:r w:rsidRPr="00A21744">
          <w:t>Salt Lake City</w:t>
        </w:r>
      </w:smartTag>
      <w:r w:rsidRPr="00A21744">
        <w:t>, Utah</w:t>
      </w:r>
    </w:p>
    <w:p w14:paraId="17A89E2E" w14:textId="77777777" w:rsidR="002812D1" w:rsidRPr="00A21744" w:rsidRDefault="002812D1" w:rsidP="002812D1">
      <w:pPr>
        <w:widowControl w:val="0"/>
        <w:ind w:left="2160" w:hanging="1440"/>
      </w:pPr>
    </w:p>
    <w:p w14:paraId="3AC9035B" w14:textId="77777777" w:rsidR="002812D1" w:rsidRPr="00A21744" w:rsidRDefault="002812D1" w:rsidP="002812D1">
      <w:pPr>
        <w:widowControl w:val="0"/>
        <w:ind w:firstLine="720"/>
      </w:pPr>
      <w:r w:rsidRPr="00A21744">
        <w:t>2001-2002</w:t>
      </w:r>
      <w:r w:rsidRPr="00A21744">
        <w:tab/>
        <w:t>Associate, Vinson &amp; Elkins, Austin, Texas</w:t>
      </w:r>
    </w:p>
    <w:p w14:paraId="4C92A02F" w14:textId="77777777" w:rsidR="002812D1" w:rsidRPr="00A21744" w:rsidRDefault="002812D1" w:rsidP="002812D1">
      <w:pPr>
        <w:widowControl w:val="0"/>
      </w:pPr>
      <w:r w:rsidRPr="00A21744">
        <w:tab/>
      </w:r>
      <w:r w:rsidRPr="00A21744">
        <w:tab/>
      </w:r>
      <w:r w:rsidRPr="00A21744">
        <w:tab/>
      </w:r>
      <w:r w:rsidRPr="00A21744">
        <w:tab/>
        <w:t>-General commercial litigation</w:t>
      </w:r>
    </w:p>
    <w:p w14:paraId="30181B05" w14:textId="77777777" w:rsidR="002812D1" w:rsidRDefault="002812D1" w:rsidP="00BA3D8D">
      <w:pPr>
        <w:widowControl w:val="0"/>
        <w:ind w:left="2160" w:hanging="1440"/>
      </w:pPr>
    </w:p>
    <w:p w14:paraId="27D15088" w14:textId="77777777" w:rsidR="00465A73" w:rsidRPr="00A21744" w:rsidRDefault="00465A73" w:rsidP="00BA3D8D">
      <w:pPr>
        <w:widowControl w:val="0"/>
        <w:ind w:left="2160" w:hanging="1440"/>
      </w:pPr>
      <w:r w:rsidRPr="00A21744">
        <w:t>2002-2004</w:t>
      </w:r>
      <w:r w:rsidRPr="00A21744">
        <w:tab/>
        <w:t>Assistant Attorney General, Office of the Texas Attorney General, Transportation Division, Austin, Texas</w:t>
      </w:r>
    </w:p>
    <w:p w14:paraId="240B3059" w14:textId="77777777" w:rsidR="00465A73" w:rsidRPr="00A21744" w:rsidRDefault="00BA3D8D">
      <w:pPr>
        <w:widowControl w:val="0"/>
      </w:pPr>
      <w:r w:rsidRPr="00A21744">
        <w:tab/>
      </w:r>
      <w:r w:rsidRPr="00A21744">
        <w:tab/>
      </w:r>
      <w:r w:rsidRPr="00A21744">
        <w:tab/>
      </w:r>
      <w:r w:rsidRPr="00A21744">
        <w:tab/>
      </w:r>
      <w:r w:rsidR="00465A73" w:rsidRPr="00A21744">
        <w:t>-Hired through Fellows Program</w:t>
      </w:r>
    </w:p>
    <w:p w14:paraId="5C4A8FFC" w14:textId="77777777" w:rsidR="00BA3D8D" w:rsidRPr="00A21744" w:rsidRDefault="00BA3D8D" w:rsidP="00BA3D8D">
      <w:pPr>
        <w:widowControl w:val="0"/>
        <w:ind w:left="720"/>
      </w:pPr>
      <w:r w:rsidRPr="00A21744">
        <w:tab/>
      </w:r>
      <w:r w:rsidRPr="00A21744">
        <w:tab/>
      </w:r>
      <w:r w:rsidRPr="00A21744">
        <w:tab/>
      </w:r>
      <w:r w:rsidR="00465A73" w:rsidRPr="00A21744">
        <w:t>-Part of t</w:t>
      </w:r>
      <w:r w:rsidR="00043EDC">
        <w:t>hree-lawyer team that litigated</w:t>
      </w:r>
      <w:r w:rsidR="00465A73" w:rsidRPr="00A21744">
        <w:t xml:space="preserve"> multi-million </w:t>
      </w:r>
      <w:r w:rsidRPr="00A21744">
        <w:t>dollar oil</w:t>
      </w:r>
    </w:p>
    <w:p w14:paraId="3382A597" w14:textId="77777777" w:rsidR="00465A73" w:rsidRPr="00A21744" w:rsidRDefault="00BA3D8D" w:rsidP="00BA3D8D">
      <w:pPr>
        <w:widowControl w:val="0"/>
        <w:ind w:left="2160" w:firstLine="720"/>
      </w:pPr>
      <w:r w:rsidRPr="00A21744">
        <w:t xml:space="preserve">  </w:t>
      </w:r>
      <w:r w:rsidR="00465A73" w:rsidRPr="00A21744">
        <w:t>and gas</w:t>
      </w:r>
      <w:r w:rsidRPr="00A21744">
        <w:t xml:space="preserve"> </w:t>
      </w:r>
      <w:r w:rsidR="00465A73" w:rsidRPr="00A21744">
        <w:t>suit against Exxon Mobil</w:t>
      </w:r>
    </w:p>
    <w:p w14:paraId="3617730A" w14:textId="77777777" w:rsidR="00BA3D8D" w:rsidRPr="00A21744" w:rsidRDefault="005B270B" w:rsidP="00B4742D">
      <w:pPr>
        <w:widowControl w:val="0"/>
        <w:ind w:left="2880"/>
      </w:pPr>
      <w:r w:rsidRPr="00A21744">
        <w:t>-Litiga</w:t>
      </w:r>
      <w:r w:rsidR="00465A73" w:rsidRPr="00A21744">
        <w:t xml:space="preserve">ted </w:t>
      </w:r>
      <w:r w:rsidR="00B4742D" w:rsidRPr="00A21744">
        <w:t xml:space="preserve">numerous </w:t>
      </w:r>
      <w:r w:rsidR="00465A73" w:rsidRPr="00A21744">
        <w:t xml:space="preserve">eminent domain cases </w:t>
      </w:r>
      <w:r w:rsidR="00BA3D8D" w:rsidRPr="00A21744">
        <w:t>through administrative</w:t>
      </w:r>
    </w:p>
    <w:p w14:paraId="3CA510AA" w14:textId="77777777" w:rsidR="00465A73" w:rsidRPr="00A21744" w:rsidRDefault="00BA3D8D" w:rsidP="00BA3D8D">
      <w:pPr>
        <w:widowControl w:val="0"/>
        <w:ind w:left="2880"/>
      </w:pPr>
      <w:r w:rsidRPr="00A21744">
        <w:t xml:space="preserve">  h</w:t>
      </w:r>
      <w:r w:rsidR="00B4742D" w:rsidRPr="00A21744">
        <w:t>earings</w:t>
      </w:r>
      <w:r w:rsidRPr="00A21744">
        <w:t xml:space="preserve"> </w:t>
      </w:r>
      <w:r w:rsidR="00465A73" w:rsidRPr="00A21744">
        <w:t>and</w:t>
      </w:r>
      <w:r w:rsidR="00B4742D" w:rsidRPr="00A21744">
        <w:t xml:space="preserve"> </w:t>
      </w:r>
      <w:r w:rsidR="00465A73" w:rsidRPr="00A21744">
        <w:t>jury trials</w:t>
      </w:r>
    </w:p>
    <w:p w14:paraId="237D0EEB" w14:textId="77777777" w:rsidR="00465A73" w:rsidRPr="00A21744" w:rsidRDefault="00465A73" w:rsidP="002812D1">
      <w:pPr>
        <w:widowControl w:val="0"/>
      </w:pPr>
      <w:r w:rsidRPr="00A21744">
        <w:tab/>
      </w:r>
    </w:p>
    <w:p w14:paraId="0FB219F3" w14:textId="77777777" w:rsidR="00D9302E" w:rsidRDefault="00D9302E">
      <w:pPr>
        <w:widowControl w:val="0"/>
      </w:pPr>
    </w:p>
    <w:p w14:paraId="3E9A4B2E" w14:textId="77777777" w:rsidR="00940C74" w:rsidRDefault="00940C74">
      <w:pPr>
        <w:widowControl w:val="0"/>
        <w:rPr>
          <w:b/>
          <w:sz w:val="28"/>
          <w:szCs w:val="28"/>
          <w:u w:val="single"/>
        </w:rPr>
      </w:pPr>
    </w:p>
    <w:p w14:paraId="4042FDA0" w14:textId="77777777" w:rsidR="00A21744" w:rsidRDefault="00A21744">
      <w:pPr>
        <w:widowControl w:val="0"/>
        <w:rPr>
          <w:b/>
          <w:sz w:val="24"/>
          <w:szCs w:val="24"/>
          <w:u w:val="single"/>
        </w:rPr>
      </w:pPr>
    </w:p>
    <w:p w14:paraId="6508BBC3" w14:textId="77777777" w:rsidR="000C73C8" w:rsidRPr="000C73C8" w:rsidRDefault="00465A73" w:rsidP="000C73C8">
      <w:pPr>
        <w:widowControl w:val="0"/>
        <w:rPr>
          <w:sz w:val="24"/>
          <w:szCs w:val="24"/>
        </w:rPr>
      </w:pPr>
      <w:r w:rsidRPr="00A21744">
        <w:rPr>
          <w:b/>
          <w:sz w:val="24"/>
          <w:szCs w:val="24"/>
          <w:u w:val="single"/>
        </w:rPr>
        <w:lastRenderedPageBreak/>
        <w:t>Publications</w:t>
      </w:r>
    </w:p>
    <w:p w14:paraId="1B182379" w14:textId="77777777" w:rsidR="00905BB7" w:rsidRPr="00905BB7" w:rsidRDefault="00905BB7" w:rsidP="00A20014">
      <w:pPr>
        <w:ind w:firstLine="720"/>
        <w:contextualSpacing/>
        <w:rPr>
          <w:i/>
        </w:rPr>
      </w:pPr>
      <w:r>
        <w:t>-</w:t>
      </w:r>
      <w:r w:rsidRPr="00905BB7">
        <w:rPr>
          <w:i/>
        </w:rPr>
        <w:t xml:space="preserve">Drafting a Texas Oil and Gas Lease to Ensure Enforceability of a Consent-To-Assign Clause:  How to </w:t>
      </w:r>
    </w:p>
    <w:p w14:paraId="0815A790" w14:textId="77777777" w:rsidR="009F7A7D" w:rsidRDefault="00905BB7" w:rsidP="00905BB7">
      <w:pPr>
        <w:ind w:left="720" w:firstLine="720"/>
        <w:contextualSpacing/>
      </w:pPr>
      <w:r w:rsidRPr="00905BB7">
        <w:rPr>
          <w:i/>
        </w:rPr>
        <w:t>Make an Oil and Gas “Lease” a Lease</w:t>
      </w:r>
      <w:r>
        <w:t xml:space="preserve">, 51 </w:t>
      </w:r>
      <w:r w:rsidRPr="00905BB7">
        <w:rPr>
          <w:smallCaps/>
        </w:rPr>
        <w:t>Tex. Tech L. Rev.</w:t>
      </w:r>
      <w:r>
        <w:t xml:space="preserve"> 169 (2019)</w:t>
      </w:r>
    </w:p>
    <w:p w14:paraId="41C9E12E" w14:textId="77777777" w:rsidR="00A20014" w:rsidRPr="00A20014" w:rsidRDefault="00A20014" w:rsidP="00A20014">
      <w:pPr>
        <w:ind w:firstLine="720"/>
        <w:contextualSpacing/>
      </w:pPr>
      <w:r>
        <w:t>-</w:t>
      </w:r>
      <w:r w:rsidRPr="00514D61">
        <w:rPr>
          <w:i/>
        </w:rPr>
        <w:t>The Reviewability of Denied</w:t>
      </w:r>
      <w:r>
        <w:t xml:space="preserve"> Twombly </w:t>
      </w:r>
      <w:r w:rsidRPr="00514D61">
        <w:rPr>
          <w:i/>
        </w:rPr>
        <w:t>Motions</w:t>
      </w:r>
      <w:r>
        <w:t xml:space="preserve">, 84 </w:t>
      </w:r>
      <w:r w:rsidRPr="00A20014">
        <w:rPr>
          <w:smallCaps/>
        </w:rPr>
        <w:t>U. of Cincinnati L. Rev</w:t>
      </w:r>
      <w:r>
        <w:t>.</w:t>
      </w:r>
      <w:r w:rsidR="00B941A6">
        <w:t xml:space="preserve"> 1145</w:t>
      </w:r>
      <w:r>
        <w:t xml:space="preserve"> (</w:t>
      </w:r>
      <w:r w:rsidR="00B941A6">
        <w:t>2017</w:t>
      </w:r>
      <w:r>
        <w:t xml:space="preserve">) </w:t>
      </w:r>
    </w:p>
    <w:p w14:paraId="78D07F71" w14:textId="77777777" w:rsidR="00514D61" w:rsidRPr="00514D61" w:rsidRDefault="00514D61" w:rsidP="00A20014">
      <w:pPr>
        <w:ind w:firstLine="720"/>
        <w:contextualSpacing/>
      </w:pPr>
      <w:r>
        <w:rPr>
          <w:i/>
        </w:rPr>
        <w:t xml:space="preserve">-Teaching </w:t>
      </w:r>
      <w:r>
        <w:t xml:space="preserve">Pierson v. Post, 45 </w:t>
      </w:r>
      <w:r w:rsidRPr="00514D61">
        <w:rPr>
          <w:smallCaps/>
        </w:rPr>
        <w:t>Capita</w:t>
      </w:r>
      <w:r>
        <w:rPr>
          <w:smallCaps/>
        </w:rPr>
        <w:t>l U. L.</w:t>
      </w:r>
      <w:r w:rsidRPr="00514D61">
        <w:rPr>
          <w:smallCaps/>
        </w:rPr>
        <w:t xml:space="preserve"> Rev</w:t>
      </w:r>
      <w:r>
        <w:rPr>
          <w:smallCaps/>
        </w:rPr>
        <w:t>.</w:t>
      </w:r>
      <w:r>
        <w:t xml:space="preserve"> 389 (2017)</w:t>
      </w:r>
    </w:p>
    <w:p w14:paraId="71B61B2B" w14:textId="77777777" w:rsidR="00514D61" w:rsidRDefault="00514D61" w:rsidP="00514D61">
      <w:pPr>
        <w:ind w:firstLine="720"/>
        <w:contextualSpacing/>
        <w:rPr>
          <w:i/>
        </w:rPr>
      </w:pPr>
      <w:r>
        <w:rPr>
          <w:i/>
        </w:rPr>
        <w:t xml:space="preserve">-The Neglected History Behind </w:t>
      </w:r>
      <w:r w:rsidRPr="00514D61">
        <w:t>Preble v. Maine Central Railroad Company</w:t>
      </w:r>
      <w:r>
        <w:rPr>
          <w:i/>
        </w:rPr>
        <w:t xml:space="preserve">:  Lessons from the “Maine </w:t>
      </w:r>
    </w:p>
    <w:p w14:paraId="723D2A0B" w14:textId="77777777" w:rsidR="00514D61" w:rsidRDefault="00514D61" w:rsidP="00514D61">
      <w:pPr>
        <w:ind w:left="720" w:firstLine="720"/>
        <w:contextualSpacing/>
        <w:rPr>
          <w:i/>
        </w:rPr>
      </w:pPr>
      <w:r>
        <w:rPr>
          <w:i/>
        </w:rPr>
        <w:t xml:space="preserve">Rule” for Adverse Possession, </w:t>
      </w:r>
      <w:r w:rsidRPr="00514D61">
        <w:t xml:space="preserve">45 </w:t>
      </w:r>
      <w:r w:rsidRPr="00514D61">
        <w:rPr>
          <w:smallCaps/>
        </w:rPr>
        <w:t>Hofstra L. Rev</w:t>
      </w:r>
      <w:r w:rsidRPr="00514D61">
        <w:t>. 537 (2016)</w:t>
      </w:r>
    </w:p>
    <w:p w14:paraId="2F82D7B7" w14:textId="77777777" w:rsidR="00A20014" w:rsidRPr="00A20014" w:rsidRDefault="00A20014" w:rsidP="00514D61">
      <w:pPr>
        <w:ind w:firstLine="720"/>
        <w:contextualSpacing/>
      </w:pPr>
      <w:r>
        <w:rPr>
          <w:i/>
        </w:rPr>
        <w:t xml:space="preserve">-The Validity of Restraints on Alienation in an Oil and Gas Lease, </w:t>
      </w:r>
      <w:r w:rsidR="00514D61">
        <w:t>64</w:t>
      </w:r>
      <w:r>
        <w:t xml:space="preserve"> </w:t>
      </w:r>
      <w:r w:rsidRPr="00A20014">
        <w:rPr>
          <w:smallCaps/>
        </w:rPr>
        <w:t>Buffalo L. Rev</w:t>
      </w:r>
      <w:r>
        <w:t>.</w:t>
      </w:r>
      <w:r w:rsidR="00514D61">
        <w:t xml:space="preserve"> 305 (2016</w:t>
      </w:r>
      <w:r>
        <w:t>)</w:t>
      </w:r>
    </w:p>
    <w:p w14:paraId="499A5ABA" w14:textId="77777777" w:rsidR="00105BBB" w:rsidRPr="00A20014" w:rsidRDefault="00105BBB" w:rsidP="00EB7F26">
      <w:pPr>
        <w:ind w:firstLine="720"/>
        <w:contextualSpacing/>
      </w:pPr>
      <w:r>
        <w:rPr>
          <w:i/>
        </w:rPr>
        <w:t>-Aggregate Alienability</w:t>
      </w:r>
      <w:r w:rsidR="00A20014">
        <w:t xml:space="preserve">, 60 </w:t>
      </w:r>
      <w:r w:rsidR="00A20014" w:rsidRPr="00A20014">
        <w:rPr>
          <w:smallCaps/>
        </w:rPr>
        <w:t>Villanova L. Rev</w:t>
      </w:r>
      <w:r w:rsidR="00A20014">
        <w:t>. 1013 (2015)</w:t>
      </w:r>
    </w:p>
    <w:p w14:paraId="419763D8" w14:textId="77777777" w:rsidR="00A20014" w:rsidRDefault="00A20014" w:rsidP="00A20014">
      <w:pPr>
        <w:ind w:firstLine="720"/>
        <w:contextualSpacing/>
      </w:pPr>
      <w:r>
        <w:rPr>
          <w:i/>
        </w:rPr>
        <w:t xml:space="preserve">-Probability, Confidence, and </w:t>
      </w:r>
      <w:r w:rsidRPr="00C73E06">
        <w:t>Twombly</w:t>
      </w:r>
      <w:r>
        <w:rPr>
          <w:i/>
        </w:rPr>
        <w:t>’s Plausibility Standard</w:t>
      </w:r>
      <w:r>
        <w:t xml:space="preserve">, 68 </w:t>
      </w:r>
      <w:r w:rsidRPr="00EB7F26">
        <w:rPr>
          <w:smallCaps/>
        </w:rPr>
        <w:t>SMU Law Review</w:t>
      </w:r>
      <w:r>
        <w:rPr>
          <w:i/>
        </w:rPr>
        <w:t xml:space="preserve"> </w:t>
      </w:r>
      <w:r>
        <w:t>(2015)</w:t>
      </w:r>
    </w:p>
    <w:p w14:paraId="67DE19E0" w14:textId="77777777" w:rsidR="00EB7F26" w:rsidRDefault="00C73E06" w:rsidP="00EB7F26">
      <w:pPr>
        <w:ind w:firstLine="720"/>
        <w:contextualSpacing/>
        <w:rPr>
          <w:smallCaps/>
        </w:rPr>
      </w:pPr>
      <w:r>
        <w:rPr>
          <w:i/>
        </w:rPr>
        <w:t>-Probability, Confidence, and the Constitutionality of the Summary Judgment</w:t>
      </w:r>
      <w:r w:rsidR="00EB7F26">
        <w:t xml:space="preserve">, 42 </w:t>
      </w:r>
      <w:r w:rsidR="00EB7F26">
        <w:rPr>
          <w:smallCaps/>
        </w:rPr>
        <w:t xml:space="preserve">Hastings </w:t>
      </w:r>
    </w:p>
    <w:p w14:paraId="4E93A05C" w14:textId="77777777" w:rsidR="00C73E06" w:rsidRPr="00EB7F26" w:rsidRDefault="00EB7F26" w:rsidP="00EB7F26">
      <w:pPr>
        <w:ind w:left="720" w:firstLine="720"/>
        <w:contextualSpacing/>
        <w:rPr>
          <w:smallCaps/>
        </w:rPr>
      </w:pPr>
      <w:r w:rsidRPr="00EB7F26">
        <w:rPr>
          <w:smallCaps/>
        </w:rPr>
        <w:t>Constitutional Law Quarterly</w:t>
      </w:r>
      <w:r w:rsidR="00A20014">
        <w:t xml:space="preserve"> (2014</w:t>
      </w:r>
      <w:r>
        <w:t>)</w:t>
      </w:r>
    </w:p>
    <w:p w14:paraId="107BB82D" w14:textId="77777777" w:rsidR="00166CCD" w:rsidRPr="00C73E06" w:rsidRDefault="00166CCD" w:rsidP="00166CCD">
      <w:pPr>
        <w:ind w:firstLine="720"/>
        <w:contextualSpacing/>
      </w:pPr>
      <w:r>
        <w:rPr>
          <w:i/>
        </w:rPr>
        <w:t xml:space="preserve">-Probability, Confidence, and the “Reasonable Jury Standard” </w:t>
      </w:r>
      <w:r w:rsidR="00EB7F26">
        <w:rPr>
          <w:i/>
        </w:rPr>
        <w:t xml:space="preserve">84 </w:t>
      </w:r>
      <w:r>
        <w:rPr>
          <w:smallCaps/>
        </w:rPr>
        <w:t>Mississippi L.</w:t>
      </w:r>
      <w:r w:rsidRPr="00166CCD">
        <w:rPr>
          <w:smallCaps/>
        </w:rPr>
        <w:t xml:space="preserve"> J</w:t>
      </w:r>
      <w:r>
        <w:rPr>
          <w:smallCaps/>
        </w:rPr>
        <w:t>.</w:t>
      </w:r>
      <w:r>
        <w:rPr>
          <w:i/>
        </w:rPr>
        <w:t xml:space="preserve"> </w:t>
      </w:r>
      <w:r w:rsidRPr="00166CCD">
        <w:t>(</w:t>
      </w:r>
      <w:r w:rsidR="00A20014">
        <w:t>2014</w:t>
      </w:r>
      <w:r w:rsidRPr="00166CCD">
        <w:t>)</w:t>
      </w:r>
    </w:p>
    <w:p w14:paraId="75554626" w14:textId="77777777" w:rsidR="00EB7F26" w:rsidRDefault="00C73E06" w:rsidP="00EB7F26">
      <w:pPr>
        <w:ind w:firstLine="720"/>
        <w:contextualSpacing/>
      </w:pPr>
      <w:r>
        <w:t>-</w:t>
      </w:r>
      <w:r w:rsidRPr="00C73E06">
        <w:rPr>
          <w:i/>
        </w:rPr>
        <w:t>Probability, Confidence, and</w:t>
      </w:r>
      <w:r>
        <w:t xml:space="preserve"> Matsushita: </w:t>
      </w:r>
      <w:r w:rsidRPr="00C73E06">
        <w:rPr>
          <w:i/>
        </w:rPr>
        <w:t>The Misunderstood Summary Judgment Revolution</w:t>
      </w:r>
      <w:r>
        <w:t xml:space="preserve"> </w:t>
      </w:r>
      <w:r w:rsidR="00EB7F26">
        <w:t xml:space="preserve">23 </w:t>
      </w:r>
    </w:p>
    <w:p w14:paraId="63711BA9" w14:textId="77777777" w:rsidR="00C73E06" w:rsidRPr="00166CCD" w:rsidRDefault="00166CCD" w:rsidP="00EB7F26">
      <w:pPr>
        <w:ind w:left="720" w:firstLine="720"/>
        <w:contextualSpacing/>
        <w:rPr>
          <w:smallCaps/>
        </w:rPr>
      </w:pPr>
      <w:r w:rsidRPr="00166CCD">
        <w:rPr>
          <w:smallCaps/>
        </w:rPr>
        <w:t>Brooklyn J. of Law &amp; Policy</w:t>
      </w:r>
      <w:r>
        <w:t xml:space="preserve"> (</w:t>
      </w:r>
      <w:r w:rsidR="00A20014">
        <w:t>2014</w:t>
      </w:r>
      <w:r>
        <w:t>)</w:t>
      </w:r>
    </w:p>
    <w:p w14:paraId="053F05FA" w14:textId="77777777" w:rsidR="00C73E06" w:rsidRDefault="00C73E06" w:rsidP="00C73E06">
      <w:pPr>
        <w:ind w:firstLine="720"/>
        <w:contextualSpacing/>
        <w:rPr>
          <w:i/>
        </w:rPr>
      </w:pPr>
      <w:r>
        <w:rPr>
          <w:i/>
        </w:rPr>
        <w:t xml:space="preserve">-A Contextual Approach to Claim of Right in Adverse Possession: On </w:t>
      </w:r>
      <w:r w:rsidRPr="00C73E06">
        <w:t>Van Valkenburgh v. Lutz</w:t>
      </w:r>
      <w:r>
        <w:rPr>
          <w:i/>
        </w:rPr>
        <w:t>,</w:t>
      </w:r>
    </w:p>
    <w:p w14:paraId="5DD50AA8" w14:textId="77777777" w:rsidR="00C73E06" w:rsidRPr="00C73E06" w:rsidRDefault="00C73E06" w:rsidP="00166CCD">
      <w:pPr>
        <w:ind w:left="1440"/>
        <w:contextualSpacing/>
      </w:pPr>
      <w:r>
        <w:rPr>
          <w:i/>
        </w:rPr>
        <w:t>Bad Faith, and Mistaken Boundaries</w:t>
      </w:r>
      <w:r w:rsidR="00166CCD">
        <w:t xml:space="preserve">, </w:t>
      </w:r>
      <w:r w:rsidR="00EB7F26">
        <w:t xml:space="preserve">18 </w:t>
      </w:r>
      <w:r w:rsidR="00166CCD" w:rsidRPr="00166CCD">
        <w:rPr>
          <w:smallCaps/>
        </w:rPr>
        <w:t>Lewis and Clark L</w:t>
      </w:r>
      <w:r w:rsidR="00166CCD">
        <w:rPr>
          <w:smallCaps/>
        </w:rPr>
        <w:t>.</w:t>
      </w:r>
      <w:r w:rsidR="00166CCD" w:rsidRPr="00166CCD">
        <w:rPr>
          <w:smallCaps/>
        </w:rPr>
        <w:t>R</w:t>
      </w:r>
      <w:r w:rsidR="00166CCD">
        <w:rPr>
          <w:smallCaps/>
        </w:rPr>
        <w:t>.</w:t>
      </w:r>
      <w:r w:rsidR="00166CCD">
        <w:t xml:space="preserve"> (</w:t>
      </w:r>
      <w:r w:rsidR="00A20014">
        <w:t>2014</w:t>
      </w:r>
      <w:r w:rsidR="00166CCD">
        <w:t>)</w:t>
      </w:r>
    </w:p>
    <w:p w14:paraId="5106A9C5" w14:textId="77777777" w:rsidR="000F4C10" w:rsidRDefault="000F4C10" w:rsidP="000F4C10">
      <w:pPr>
        <w:ind w:firstLine="720"/>
        <w:contextualSpacing/>
      </w:pPr>
      <w:r>
        <w:rPr>
          <w:i/>
        </w:rPr>
        <w:t xml:space="preserve">-Why </w:t>
      </w:r>
      <w:r w:rsidRPr="003D589A">
        <w:t xml:space="preserve">Twombly </w:t>
      </w:r>
      <w:r>
        <w:rPr>
          <w:i/>
        </w:rPr>
        <w:t xml:space="preserve">is Good Law (But Poorly Drafted) and </w:t>
      </w:r>
      <w:r w:rsidRPr="003D589A">
        <w:t xml:space="preserve">Iqbal </w:t>
      </w:r>
      <w:r>
        <w:rPr>
          <w:i/>
        </w:rPr>
        <w:t>will be Overturned</w:t>
      </w:r>
      <w:r>
        <w:t xml:space="preserve">, 87 </w:t>
      </w:r>
      <w:r w:rsidRPr="007C0F7C">
        <w:rPr>
          <w:smallCaps/>
        </w:rPr>
        <w:t>Ind</w:t>
      </w:r>
      <w:r>
        <w:rPr>
          <w:smallCaps/>
        </w:rPr>
        <w:t>iana</w:t>
      </w:r>
      <w:r w:rsidRPr="007C0F7C">
        <w:rPr>
          <w:smallCaps/>
        </w:rPr>
        <w:t xml:space="preserve"> L.J</w:t>
      </w:r>
      <w:r>
        <w:t>. 709</w:t>
      </w:r>
    </w:p>
    <w:p w14:paraId="07ABC323" w14:textId="77777777" w:rsidR="000F4C10" w:rsidRDefault="00C73E06" w:rsidP="000F4C10">
      <w:pPr>
        <w:ind w:left="1440"/>
        <w:contextualSpacing/>
      </w:pPr>
      <w:r>
        <w:t>(2012</w:t>
      </w:r>
      <w:r w:rsidR="000F4C10">
        <w:t>)</w:t>
      </w:r>
    </w:p>
    <w:p w14:paraId="6369BDA6" w14:textId="77777777" w:rsidR="00514D61" w:rsidRPr="00EF7079" w:rsidRDefault="00514D61" w:rsidP="00514D61">
      <w:pPr>
        <w:ind w:left="720"/>
        <w:contextualSpacing/>
      </w:pPr>
      <w:r>
        <w:rPr>
          <w:i/>
        </w:rPr>
        <w:t>-Using Tort Law to Understand the Causation Prong of Standing</w:t>
      </w:r>
      <w:r>
        <w:t xml:space="preserve">, 80 </w:t>
      </w:r>
      <w:r w:rsidRPr="00FF6549">
        <w:rPr>
          <w:smallCaps/>
        </w:rPr>
        <w:t>Fordham L. Rev</w:t>
      </w:r>
      <w:r>
        <w:t xml:space="preserve"> 1241 (2012)</w:t>
      </w:r>
    </w:p>
    <w:p w14:paraId="6A9D8263" w14:textId="77777777" w:rsidR="00C73E06" w:rsidRDefault="00C73E06" w:rsidP="00C73E06">
      <w:pPr>
        <w:ind w:left="720"/>
        <w:contextualSpacing/>
      </w:pPr>
      <w:r>
        <w:rPr>
          <w:i/>
        </w:rPr>
        <w:t xml:space="preserve">-Interlocutory Review of Orders Denying Remand Motions, </w:t>
      </w:r>
      <w:r>
        <w:t xml:space="preserve">63 </w:t>
      </w:r>
      <w:r w:rsidRPr="00C73E06">
        <w:rPr>
          <w:smallCaps/>
        </w:rPr>
        <w:t>Baylor L. Rev.</w:t>
      </w:r>
      <w:r>
        <w:t xml:space="preserve"> 735 (2011) </w:t>
      </w:r>
    </w:p>
    <w:p w14:paraId="379FFE2F" w14:textId="77777777" w:rsidR="00C73E06" w:rsidRPr="00C73E06" w:rsidRDefault="00C73E06" w:rsidP="00C73E06">
      <w:pPr>
        <w:ind w:left="720"/>
        <w:contextualSpacing/>
      </w:pPr>
      <w:r>
        <w:rPr>
          <w:i/>
        </w:rPr>
        <w:tab/>
      </w:r>
      <w:r>
        <w:rPr>
          <w:i/>
        </w:rPr>
        <w:tab/>
      </w:r>
      <w:r>
        <w:t>(with Rory</w:t>
      </w:r>
      <w:r w:rsidRPr="00C73E06">
        <w:t xml:space="preserve"> Ryan and Jeremy Counseller)</w:t>
      </w:r>
    </w:p>
    <w:p w14:paraId="0FE73256" w14:textId="77777777" w:rsidR="00BD5B9F" w:rsidRPr="002F520D" w:rsidRDefault="00BD5B9F" w:rsidP="00A16351">
      <w:pPr>
        <w:widowControl w:val="0"/>
        <w:ind w:left="720"/>
      </w:pPr>
      <w:r>
        <w:t>-</w:t>
      </w:r>
      <w:r>
        <w:rPr>
          <w:i/>
        </w:rPr>
        <w:t>Facial Challenges and Separation of Powers</w:t>
      </w:r>
      <w:r>
        <w:t xml:space="preserve">, </w:t>
      </w:r>
      <w:r w:rsidR="002F520D">
        <w:t xml:space="preserve">85 </w:t>
      </w:r>
      <w:r w:rsidR="002F520D">
        <w:rPr>
          <w:smallCaps/>
        </w:rPr>
        <w:t>Ind</w:t>
      </w:r>
      <w:r w:rsidR="00FF6549">
        <w:rPr>
          <w:smallCaps/>
        </w:rPr>
        <w:t>iana</w:t>
      </w:r>
      <w:r w:rsidR="002F520D">
        <w:rPr>
          <w:smallCaps/>
        </w:rPr>
        <w:t>. L.J.</w:t>
      </w:r>
      <w:r w:rsidR="000C73C8">
        <w:rPr>
          <w:smallCaps/>
        </w:rPr>
        <w:t xml:space="preserve"> </w:t>
      </w:r>
      <w:r w:rsidR="001E1B8C">
        <w:rPr>
          <w:smallCaps/>
        </w:rPr>
        <w:t xml:space="preserve"> 1557</w:t>
      </w:r>
      <w:r w:rsidR="000C73C8">
        <w:rPr>
          <w:smallCaps/>
        </w:rPr>
        <w:t xml:space="preserve"> (2010</w:t>
      </w:r>
      <w:r w:rsidR="002F520D">
        <w:t>)</w:t>
      </w:r>
    </w:p>
    <w:p w14:paraId="3382B7E1" w14:textId="77777777" w:rsidR="00FF6549" w:rsidRDefault="00FF6549" w:rsidP="00FF6549">
      <w:pPr>
        <w:widowControl w:val="0"/>
        <w:ind w:left="720"/>
        <w:rPr>
          <w:smallCaps/>
        </w:rPr>
      </w:pPr>
      <w:r>
        <w:rPr>
          <w:i/>
        </w:rPr>
        <w:t xml:space="preserve">-RLUIPA and </w:t>
      </w:r>
      <w:r w:rsidRPr="009621E3">
        <w:rPr>
          <w:i/>
        </w:rPr>
        <w:t>Congressional Intent</w:t>
      </w:r>
      <w:r w:rsidRPr="009621E3">
        <w:t xml:space="preserve">, 70 </w:t>
      </w:r>
      <w:r>
        <w:rPr>
          <w:smallCaps/>
        </w:rPr>
        <w:t>Albany</w:t>
      </w:r>
      <w:r w:rsidRPr="009621E3">
        <w:rPr>
          <w:smallCaps/>
        </w:rPr>
        <w:t xml:space="preserve"> L. Rev. 1435 (2007)</w:t>
      </w:r>
    </w:p>
    <w:p w14:paraId="38D4F3C7" w14:textId="77777777" w:rsidR="00577816" w:rsidRPr="00A21744" w:rsidRDefault="00A16351" w:rsidP="00A16351">
      <w:pPr>
        <w:widowControl w:val="0"/>
        <w:ind w:left="720"/>
        <w:rPr>
          <w:i/>
        </w:rPr>
      </w:pPr>
      <w:r w:rsidRPr="00A21744">
        <w:t>-</w:t>
      </w:r>
      <w:r w:rsidR="00577816" w:rsidRPr="00A21744">
        <w:rPr>
          <w:i/>
        </w:rPr>
        <w:t>Tort Law and the Relationship between the Establishment Clause and the Free Exercise</w:t>
      </w:r>
    </w:p>
    <w:p w14:paraId="5C98E63E" w14:textId="77777777" w:rsidR="00A16351" w:rsidRDefault="00577816" w:rsidP="00092678">
      <w:pPr>
        <w:widowControl w:val="0"/>
        <w:ind w:left="720" w:firstLine="720"/>
      </w:pPr>
      <w:r w:rsidRPr="00A21744">
        <w:rPr>
          <w:i/>
        </w:rPr>
        <w:t xml:space="preserve"> Clause</w:t>
      </w:r>
      <w:r w:rsidRPr="00A21744">
        <w:t>,</w:t>
      </w:r>
      <w:r w:rsidR="006161AB">
        <w:t xml:space="preserve"> 40</w:t>
      </w:r>
      <w:r w:rsidR="00A16351" w:rsidRPr="00A21744">
        <w:t xml:space="preserve"> </w:t>
      </w:r>
      <w:r w:rsidR="00A16351" w:rsidRPr="00A21744">
        <w:rPr>
          <w:smallCaps/>
        </w:rPr>
        <w:t>Ind</w:t>
      </w:r>
      <w:r w:rsidR="00FF6549">
        <w:rPr>
          <w:smallCaps/>
        </w:rPr>
        <w:t>iana</w:t>
      </w:r>
      <w:r w:rsidR="00A16351" w:rsidRPr="00A21744">
        <w:rPr>
          <w:smallCaps/>
        </w:rPr>
        <w:t xml:space="preserve"> L. Rev</w:t>
      </w:r>
      <w:r w:rsidR="006161AB">
        <w:t>. 519</w:t>
      </w:r>
      <w:r w:rsidR="00A16351" w:rsidRPr="00A21744">
        <w:t xml:space="preserve"> (2007)</w:t>
      </w:r>
    </w:p>
    <w:p w14:paraId="70C5C744" w14:textId="77777777" w:rsidR="00092678" w:rsidRPr="00A21744" w:rsidRDefault="00092678" w:rsidP="00092678">
      <w:pPr>
        <w:widowControl w:val="0"/>
        <w:ind w:firstLine="720"/>
        <w:rPr>
          <w:smallCaps/>
        </w:rPr>
      </w:pPr>
      <w:r>
        <w:rPr>
          <w:i/>
        </w:rPr>
        <w:t>-</w:t>
      </w:r>
      <w:r w:rsidRPr="00A21744">
        <w:rPr>
          <w:smallCaps/>
        </w:rPr>
        <w:t>-</w:t>
      </w:r>
      <w:r w:rsidRPr="00A21744">
        <w:rPr>
          <w:i/>
        </w:rPr>
        <w:t>Constitutional Structure, Individual Rights, and the Pledge of Allegiance</w:t>
      </w:r>
      <w:r w:rsidRPr="00A21744">
        <w:t xml:space="preserve">, 5 </w:t>
      </w:r>
      <w:r w:rsidRPr="00A21744">
        <w:rPr>
          <w:smallCaps/>
        </w:rPr>
        <w:t>First Amen.</w:t>
      </w:r>
    </w:p>
    <w:p w14:paraId="6E7A675F" w14:textId="77777777" w:rsidR="00092678" w:rsidRPr="00A21744" w:rsidRDefault="00092678" w:rsidP="00092678">
      <w:pPr>
        <w:widowControl w:val="0"/>
        <w:ind w:firstLine="720"/>
      </w:pPr>
      <w:r w:rsidRPr="00A21744">
        <w:rPr>
          <w:smallCaps/>
        </w:rPr>
        <w:t xml:space="preserve">   </w:t>
      </w:r>
      <w:r>
        <w:rPr>
          <w:smallCaps/>
        </w:rPr>
        <w:tab/>
      </w:r>
      <w:r w:rsidRPr="00A21744">
        <w:rPr>
          <w:smallCaps/>
        </w:rPr>
        <w:t>L. Rev. 162</w:t>
      </w:r>
      <w:r w:rsidRPr="00A21744">
        <w:t xml:space="preserve"> (2006)</w:t>
      </w:r>
    </w:p>
    <w:p w14:paraId="68DCA876" w14:textId="77777777" w:rsidR="00597296" w:rsidRDefault="00092678" w:rsidP="00DE123F">
      <w:pPr>
        <w:widowControl w:val="0"/>
        <w:ind w:firstLine="720"/>
        <w:rPr>
          <w:smallCaps/>
        </w:rPr>
      </w:pPr>
      <w:r w:rsidRPr="00A21744">
        <w:t>-</w:t>
      </w:r>
      <w:r w:rsidRPr="00A21744">
        <w:rPr>
          <w:i/>
        </w:rPr>
        <w:t>A Broad Attack on Overbreadth</w:t>
      </w:r>
      <w:r w:rsidRPr="00A21744">
        <w:t xml:space="preserve">, 40 </w:t>
      </w:r>
      <w:r w:rsidR="00FF6549">
        <w:rPr>
          <w:smallCaps/>
        </w:rPr>
        <w:t>Valparaiso Univ.</w:t>
      </w:r>
      <w:r w:rsidRPr="00A21744">
        <w:rPr>
          <w:smallCaps/>
        </w:rPr>
        <w:t xml:space="preserve"> L. Rev. 113 (2005)</w:t>
      </w:r>
    </w:p>
    <w:p w14:paraId="7437A7EE" w14:textId="77777777" w:rsidR="00DE123F" w:rsidRPr="00DE123F" w:rsidRDefault="00DE123F" w:rsidP="00DE123F">
      <w:pPr>
        <w:widowControl w:val="0"/>
        <w:ind w:firstLine="720"/>
        <w:rPr>
          <w:smallCaps/>
        </w:rPr>
      </w:pPr>
    </w:p>
    <w:sectPr w:rsidR="00DE123F" w:rsidRPr="00DE123F" w:rsidSect="00597296">
      <w:headerReference w:type="default" r:id="rId8"/>
      <w:footerReference w:type="default" r:id="rId9"/>
      <w:pgSz w:w="12240" w:h="15840"/>
      <w:pgMar w:top="864" w:right="1440" w:bottom="432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A7E6B" w14:textId="77777777" w:rsidR="00CA49A1" w:rsidRDefault="00CA49A1">
      <w:r>
        <w:separator/>
      </w:r>
    </w:p>
  </w:endnote>
  <w:endnote w:type="continuationSeparator" w:id="0">
    <w:p w14:paraId="1B0ECCF7" w14:textId="77777777" w:rsidR="00CA49A1" w:rsidRDefault="00CA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D4DE" w14:textId="77777777" w:rsidR="001F2E6E" w:rsidRDefault="001F2E6E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6F7FD" w14:textId="77777777" w:rsidR="00CA49A1" w:rsidRDefault="00CA49A1">
      <w:r>
        <w:separator/>
      </w:r>
    </w:p>
  </w:footnote>
  <w:footnote w:type="continuationSeparator" w:id="0">
    <w:p w14:paraId="6D6A2EDD" w14:textId="77777777" w:rsidR="00CA49A1" w:rsidRDefault="00CA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106E" w14:textId="77777777" w:rsidR="001F2E6E" w:rsidRDefault="001F2E6E">
    <w:pPr>
      <w:widowControl w:val="0"/>
      <w:tabs>
        <w:tab w:val="center" w:pos="4320"/>
        <w:tab w:val="right" w:pos="8640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7C"/>
    <w:rsid w:val="000325DF"/>
    <w:rsid w:val="00043EDC"/>
    <w:rsid w:val="00045C5F"/>
    <w:rsid w:val="0005590E"/>
    <w:rsid w:val="00060098"/>
    <w:rsid w:val="0007387A"/>
    <w:rsid w:val="00076D42"/>
    <w:rsid w:val="000811CB"/>
    <w:rsid w:val="00092678"/>
    <w:rsid w:val="000A0A7B"/>
    <w:rsid w:val="000A44F7"/>
    <w:rsid w:val="000B36D6"/>
    <w:rsid w:val="000C73C8"/>
    <w:rsid w:val="000F4C10"/>
    <w:rsid w:val="00105BBB"/>
    <w:rsid w:val="00111AFF"/>
    <w:rsid w:val="00166CCD"/>
    <w:rsid w:val="001A6778"/>
    <w:rsid w:val="001D7356"/>
    <w:rsid w:val="001E1B8C"/>
    <w:rsid w:val="001F27A8"/>
    <w:rsid w:val="001F2E6E"/>
    <w:rsid w:val="002249ED"/>
    <w:rsid w:val="002676C9"/>
    <w:rsid w:val="00270032"/>
    <w:rsid w:val="002812D1"/>
    <w:rsid w:val="002D7827"/>
    <w:rsid w:val="002E03D2"/>
    <w:rsid w:val="002F42A9"/>
    <w:rsid w:val="002F520D"/>
    <w:rsid w:val="0030141F"/>
    <w:rsid w:val="0036209B"/>
    <w:rsid w:val="00366EDD"/>
    <w:rsid w:val="003869FB"/>
    <w:rsid w:val="003D589A"/>
    <w:rsid w:val="003F4059"/>
    <w:rsid w:val="003F6634"/>
    <w:rsid w:val="00404554"/>
    <w:rsid w:val="004055BA"/>
    <w:rsid w:val="004352B8"/>
    <w:rsid w:val="00445934"/>
    <w:rsid w:val="00447721"/>
    <w:rsid w:val="00465A73"/>
    <w:rsid w:val="00484965"/>
    <w:rsid w:val="004B7BF1"/>
    <w:rsid w:val="004C123C"/>
    <w:rsid w:val="004D5F09"/>
    <w:rsid w:val="004F04F4"/>
    <w:rsid w:val="00514D61"/>
    <w:rsid w:val="00540F75"/>
    <w:rsid w:val="00555BD5"/>
    <w:rsid w:val="00577816"/>
    <w:rsid w:val="00597296"/>
    <w:rsid w:val="005A0804"/>
    <w:rsid w:val="005B270B"/>
    <w:rsid w:val="005B2EC5"/>
    <w:rsid w:val="005B7E74"/>
    <w:rsid w:val="005F09CE"/>
    <w:rsid w:val="0061388E"/>
    <w:rsid w:val="006161AB"/>
    <w:rsid w:val="0062429A"/>
    <w:rsid w:val="006524DE"/>
    <w:rsid w:val="006B00FC"/>
    <w:rsid w:val="006B7FAF"/>
    <w:rsid w:val="006C2811"/>
    <w:rsid w:val="006F0791"/>
    <w:rsid w:val="00710A5C"/>
    <w:rsid w:val="00733E3C"/>
    <w:rsid w:val="00745A12"/>
    <w:rsid w:val="00756196"/>
    <w:rsid w:val="00761C07"/>
    <w:rsid w:val="007C0F7C"/>
    <w:rsid w:val="007C14CC"/>
    <w:rsid w:val="007C18D4"/>
    <w:rsid w:val="007C6C54"/>
    <w:rsid w:val="007D5F68"/>
    <w:rsid w:val="007D79BF"/>
    <w:rsid w:val="00815743"/>
    <w:rsid w:val="008501B4"/>
    <w:rsid w:val="00856986"/>
    <w:rsid w:val="00876F8E"/>
    <w:rsid w:val="008B727D"/>
    <w:rsid w:val="008C1C9F"/>
    <w:rsid w:val="008E3B26"/>
    <w:rsid w:val="00905BB7"/>
    <w:rsid w:val="0090727B"/>
    <w:rsid w:val="00935B67"/>
    <w:rsid w:val="00940C74"/>
    <w:rsid w:val="009505A5"/>
    <w:rsid w:val="0095790E"/>
    <w:rsid w:val="009621E3"/>
    <w:rsid w:val="009706F1"/>
    <w:rsid w:val="00991C1C"/>
    <w:rsid w:val="0099316E"/>
    <w:rsid w:val="0099767C"/>
    <w:rsid w:val="009C28D9"/>
    <w:rsid w:val="009E5386"/>
    <w:rsid w:val="009F4889"/>
    <w:rsid w:val="009F57A4"/>
    <w:rsid w:val="009F7A7D"/>
    <w:rsid w:val="00A11B7F"/>
    <w:rsid w:val="00A16351"/>
    <w:rsid w:val="00A20014"/>
    <w:rsid w:val="00A21045"/>
    <w:rsid w:val="00A21744"/>
    <w:rsid w:val="00A46C7A"/>
    <w:rsid w:val="00A95DC6"/>
    <w:rsid w:val="00AE0AA8"/>
    <w:rsid w:val="00AE406F"/>
    <w:rsid w:val="00B11E4C"/>
    <w:rsid w:val="00B4742D"/>
    <w:rsid w:val="00B567ED"/>
    <w:rsid w:val="00B941A6"/>
    <w:rsid w:val="00B94415"/>
    <w:rsid w:val="00BA3D8D"/>
    <w:rsid w:val="00BB4BAB"/>
    <w:rsid w:val="00BD0250"/>
    <w:rsid w:val="00BD5B9F"/>
    <w:rsid w:val="00BE281C"/>
    <w:rsid w:val="00BE2B4B"/>
    <w:rsid w:val="00BE34AA"/>
    <w:rsid w:val="00BE7E93"/>
    <w:rsid w:val="00BF6D10"/>
    <w:rsid w:val="00C25651"/>
    <w:rsid w:val="00C40C8A"/>
    <w:rsid w:val="00C52217"/>
    <w:rsid w:val="00C73E06"/>
    <w:rsid w:val="00C86E97"/>
    <w:rsid w:val="00C97145"/>
    <w:rsid w:val="00CA49A1"/>
    <w:rsid w:val="00CA62B7"/>
    <w:rsid w:val="00CC411E"/>
    <w:rsid w:val="00CD57F6"/>
    <w:rsid w:val="00CF1930"/>
    <w:rsid w:val="00D0096F"/>
    <w:rsid w:val="00D079BF"/>
    <w:rsid w:val="00D357ED"/>
    <w:rsid w:val="00D4296B"/>
    <w:rsid w:val="00D9302E"/>
    <w:rsid w:val="00DA0FA1"/>
    <w:rsid w:val="00DE123F"/>
    <w:rsid w:val="00E2364E"/>
    <w:rsid w:val="00E24B7D"/>
    <w:rsid w:val="00E34ADF"/>
    <w:rsid w:val="00E441B2"/>
    <w:rsid w:val="00E50C90"/>
    <w:rsid w:val="00E5663E"/>
    <w:rsid w:val="00E61146"/>
    <w:rsid w:val="00E63265"/>
    <w:rsid w:val="00E86203"/>
    <w:rsid w:val="00EA42A0"/>
    <w:rsid w:val="00EB7F26"/>
    <w:rsid w:val="00ED02F5"/>
    <w:rsid w:val="00ED2088"/>
    <w:rsid w:val="00EF7079"/>
    <w:rsid w:val="00F06040"/>
    <w:rsid w:val="00F57D5F"/>
    <w:rsid w:val="00FB535F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97DC2B"/>
  <w15:docId w15:val="{106E6358-EA55-4D34-B04D-34B9317D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96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A6778"/>
    <w:rPr>
      <w:vertAlign w:val="superscript"/>
    </w:rPr>
  </w:style>
  <w:style w:type="paragraph" w:styleId="FootnoteText">
    <w:name w:val="footnote text"/>
    <w:basedOn w:val="Normal"/>
    <w:semiHidden/>
    <w:rsid w:val="001A6778"/>
    <w:pPr>
      <w:overflowPunct/>
      <w:autoSpaceDE/>
      <w:autoSpaceDN/>
      <w:adjustRightInd/>
      <w:textAlignment w:val="auto"/>
    </w:pPr>
  </w:style>
  <w:style w:type="paragraph" w:customStyle="1" w:styleId="Default">
    <w:name w:val="Default"/>
    <w:rsid w:val="00EA42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C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e_Meier@Baylo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397E-5827-42FE-BE57-388878F8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Luke Meier</vt:lpstr>
    </vt:vector>
  </TitlesOfParts>
  <Company>University of Nebraska</Company>
  <LinksUpToDate>false</LinksUpToDate>
  <CharactersWithSpaces>3899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mailto:Luke_Meier@Baylor.edu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Meier</dc:title>
  <dc:creator>foobar</dc:creator>
  <cp:lastModifiedBy>Meier, Luke</cp:lastModifiedBy>
  <cp:revision>12</cp:revision>
  <cp:lastPrinted>2009-05-05T11:28:00Z</cp:lastPrinted>
  <dcterms:created xsi:type="dcterms:W3CDTF">2014-01-29T21:44:00Z</dcterms:created>
  <dcterms:modified xsi:type="dcterms:W3CDTF">2019-08-22T13:32:00Z</dcterms:modified>
</cp:coreProperties>
</file>